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9"/>
        <w:gridCol w:w="68"/>
        <w:gridCol w:w="83"/>
      </w:tblGrid>
      <w:tr w:rsidR="00054E92" w:rsidRPr="00054E92" w:rsidTr="00753DB1">
        <w:trPr>
          <w:tblCellSpacing w:w="15" w:type="dxa"/>
        </w:trPr>
        <w:tc>
          <w:tcPr>
            <w:tcW w:w="0" w:type="auto"/>
            <w:vAlign w:val="center"/>
            <w:hideMark/>
          </w:tcPr>
          <w:p w:rsidR="00054E92" w:rsidRDefault="00627908" w:rsidP="00627908">
            <w:pPr>
              <w:spacing w:after="0" w:line="240" w:lineRule="auto"/>
              <w:jc w:val="center"/>
              <w:rPr>
                <w:rFonts w:eastAsia="Times New Roman" w:cstheme="minorHAnsi"/>
                <w:b/>
                <w:sz w:val="28"/>
                <w:szCs w:val="28"/>
              </w:rPr>
            </w:pPr>
            <w:r w:rsidRPr="00627908">
              <w:rPr>
                <w:rFonts w:eastAsia="Times New Roman" w:cstheme="minorHAnsi"/>
                <w:b/>
                <w:sz w:val="28"/>
                <w:szCs w:val="28"/>
              </w:rPr>
              <w:t>Poverty Measures and Program Provision: Solving the Thresholds Problem</w:t>
            </w:r>
          </w:p>
          <w:p w:rsidR="00627908" w:rsidRPr="00627908" w:rsidRDefault="00627908" w:rsidP="00627908">
            <w:pPr>
              <w:spacing w:after="0" w:line="240" w:lineRule="auto"/>
              <w:jc w:val="center"/>
              <w:rPr>
                <w:rFonts w:eastAsia="Times New Roman" w:cstheme="minorHAnsi"/>
                <w:b/>
                <w:sz w:val="28"/>
                <w:szCs w:val="28"/>
              </w:rPr>
            </w:pPr>
          </w:p>
          <w:p w:rsidR="00627908" w:rsidRPr="00054E92" w:rsidRDefault="00627908" w:rsidP="00627908">
            <w:pPr>
              <w:spacing w:after="0" w:line="240" w:lineRule="auto"/>
              <w:jc w:val="center"/>
              <w:rPr>
                <w:rFonts w:eastAsia="Times New Roman" w:cstheme="minorHAnsi"/>
                <w:sz w:val="24"/>
                <w:szCs w:val="24"/>
              </w:rPr>
            </w:pPr>
            <w:r>
              <w:rPr>
                <w:rFonts w:eastAsia="Times New Roman" w:cstheme="minorHAnsi"/>
                <w:sz w:val="24"/>
                <w:szCs w:val="24"/>
              </w:rPr>
              <w:t>By Diana M. Pearce</w:t>
            </w:r>
          </w:p>
          <w:p w:rsidR="00627908" w:rsidRDefault="00627908" w:rsidP="00627908">
            <w:pPr>
              <w:spacing w:after="0" w:line="240" w:lineRule="auto"/>
              <w:jc w:val="center"/>
              <w:rPr>
                <w:rFonts w:eastAsia="Times New Roman" w:cstheme="minorHAnsi"/>
                <w:sz w:val="24"/>
                <w:szCs w:val="24"/>
              </w:rPr>
            </w:pPr>
            <w:r w:rsidRPr="00054E92">
              <w:rPr>
                <w:rFonts w:eastAsia="Times New Roman" w:cstheme="minorHAnsi"/>
                <w:sz w:val="24"/>
                <w:szCs w:val="24"/>
              </w:rPr>
              <w:t>University of Washington</w:t>
            </w:r>
            <w:r>
              <w:rPr>
                <w:rFonts w:eastAsia="Times New Roman" w:cstheme="minorHAnsi"/>
                <w:sz w:val="24"/>
                <w:szCs w:val="24"/>
              </w:rPr>
              <w:t xml:space="preserve"> School of Social Work</w:t>
            </w:r>
          </w:p>
          <w:p w:rsidR="00627908" w:rsidRDefault="00627908" w:rsidP="00627908">
            <w:pPr>
              <w:spacing w:after="0" w:line="240" w:lineRule="auto"/>
              <w:jc w:val="center"/>
              <w:rPr>
                <w:rFonts w:eastAsia="Times New Roman" w:cstheme="minorHAnsi"/>
                <w:sz w:val="24"/>
                <w:szCs w:val="24"/>
              </w:rPr>
            </w:pPr>
          </w:p>
          <w:p w:rsidR="00627908" w:rsidRDefault="00627908" w:rsidP="00627908">
            <w:pPr>
              <w:spacing w:after="0" w:line="240" w:lineRule="auto"/>
              <w:jc w:val="center"/>
              <w:rPr>
                <w:rFonts w:eastAsia="Times New Roman" w:cstheme="minorHAnsi"/>
                <w:sz w:val="24"/>
                <w:szCs w:val="24"/>
              </w:rPr>
            </w:pPr>
            <w:r>
              <w:rPr>
                <w:rFonts w:eastAsia="Times New Roman" w:cstheme="minorHAnsi"/>
                <w:sz w:val="24"/>
                <w:szCs w:val="24"/>
              </w:rPr>
              <w:t>Prepared for the Annual Meeting of the Association of Public Policy and Management</w:t>
            </w:r>
          </w:p>
          <w:p w:rsidR="00627908" w:rsidRDefault="00627908" w:rsidP="00627908">
            <w:pPr>
              <w:spacing w:after="0" w:line="240" w:lineRule="auto"/>
              <w:jc w:val="center"/>
              <w:rPr>
                <w:rFonts w:eastAsia="Times New Roman" w:cstheme="minorHAnsi"/>
                <w:sz w:val="24"/>
                <w:szCs w:val="24"/>
              </w:rPr>
            </w:pPr>
            <w:r>
              <w:rPr>
                <w:rFonts w:eastAsia="Times New Roman" w:cstheme="minorHAnsi"/>
                <w:sz w:val="24"/>
                <w:szCs w:val="24"/>
              </w:rPr>
              <w:t>Washington, D. C.</w:t>
            </w:r>
          </w:p>
          <w:p w:rsidR="00627908" w:rsidRDefault="00627908" w:rsidP="00627908">
            <w:pPr>
              <w:spacing w:after="0" w:line="240" w:lineRule="auto"/>
              <w:jc w:val="center"/>
              <w:rPr>
                <w:rFonts w:eastAsia="Times New Roman" w:cstheme="minorHAnsi"/>
                <w:sz w:val="24"/>
                <w:szCs w:val="24"/>
              </w:rPr>
            </w:pPr>
            <w:r>
              <w:rPr>
                <w:rFonts w:eastAsia="Times New Roman" w:cstheme="minorHAnsi"/>
                <w:sz w:val="24"/>
                <w:szCs w:val="24"/>
              </w:rPr>
              <w:t>November 2011</w:t>
            </w:r>
          </w:p>
          <w:p w:rsidR="00627908" w:rsidRDefault="00627908" w:rsidP="00753DB1">
            <w:pPr>
              <w:spacing w:after="0" w:line="240" w:lineRule="auto"/>
              <w:rPr>
                <w:rFonts w:eastAsia="Times New Roman" w:cstheme="minorHAnsi"/>
                <w:sz w:val="24"/>
                <w:szCs w:val="24"/>
              </w:rPr>
            </w:pPr>
          </w:p>
          <w:p w:rsidR="00054E92" w:rsidRDefault="00627908" w:rsidP="00627908">
            <w:pPr>
              <w:spacing w:after="0" w:line="240" w:lineRule="auto"/>
              <w:jc w:val="center"/>
              <w:rPr>
                <w:rFonts w:eastAsia="Times New Roman" w:cstheme="minorHAnsi"/>
                <w:sz w:val="24"/>
                <w:szCs w:val="24"/>
              </w:rPr>
            </w:pPr>
            <w:r>
              <w:rPr>
                <w:rFonts w:eastAsia="Times New Roman" w:cstheme="minorHAnsi"/>
                <w:sz w:val="24"/>
                <w:szCs w:val="24"/>
              </w:rPr>
              <w:t>Paper #1972, DataWatch Section, Employment and Training Subsection</w:t>
            </w:r>
          </w:p>
          <w:p w:rsidR="00627908" w:rsidRDefault="00627908" w:rsidP="00627908">
            <w:pPr>
              <w:spacing w:after="0" w:line="240" w:lineRule="auto"/>
              <w:jc w:val="center"/>
              <w:rPr>
                <w:rFonts w:eastAsia="Times New Roman" w:cstheme="minorHAnsi"/>
                <w:sz w:val="24"/>
                <w:szCs w:val="24"/>
              </w:rPr>
            </w:pPr>
          </w:p>
          <w:p w:rsidR="00627908" w:rsidRPr="00054E92" w:rsidRDefault="00627908" w:rsidP="00627908">
            <w:pPr>
              <w:spacing w:after="0" w:line="240" w:lineRule="auto"/>
              <w:jc w:val="center"/>
              <w:rPr>
                <w:rFonts w:eastAsia="Times New Roman" w:cstheme="minorHAnsi"/>
                <w:sz w:val="24"/>
                <w:szCs w:val="24"/>
              </w:rPr>
            </w:pPr>
          </w:p>
        </w:tc>
        <w:tc>
          <w:tcPr>
            <w:tcW w:w="0" w:type="auto"/>
            <w:vAlign w:val="center"/>
            <w:hideMark/>
          </w:tcPr>
          <w:p w:rsidR="00054E92" w:rsidRPr="00054E92" w:rsidRDefault="00054E92" w:rsidP="00753DB1">
            <w:pPr>
              <w:spacing w:after="0" w:line="240" w:lineRule="auto"/>
              <w:rPr>
                <w:rFonts w:eastAsia="Times New Roman" w:cstheme="minorHAnsi"/>
                <w:sz w:val="24"/>
                <w:szCs w:val="24"/>
              </w:rPr>
            </w:pPr>
          </w:p>
        </w:tc>
        <w:tc>
          <w:tcPr>
            <w:tcW w:w="0" w:type="auto"/>
            <w:vAlign w:val="center"/>
            <w:hideMark/>
          </w:tcPr>
          <w:p w:rsidR="00054E92" w:rsidRPr="00054E92" w:rsidRDefault="00054E92" w:rsidP="00753DB1">
            <w:pPr>
              <w:spacing w:after="0" w:line="240" w:lineRule="auto"/>
              <w:rPr>
                <w:rFonts w:eastAsia="Times New Roman" w:cstheme="minorHAnsi"/>
                <w:sz w:val="24"/>
                <w:szCs w:val="24"/>
              </w:rPr>
            </w:pPr>
          </w:p>
        </w:tc>
      </w:tr>
    </w:tbl>
    <w:p w:rsidR="00B95C8F" w:rsidRPr="00054E92" w:rsidRDefault="00B95C8F" w:rsidP="00DB6B91">
      <w:pPr>
        <w:ind w:firstLine="720"/>
        <w:rPr>
          <w:rFonts w:cstheme="minorHAnsi"/>
          <w:sz w:val="24"/>
          <w:szCs w:val="24"/>
        </w:rPr>
      </w:pPr>
      <w:r w:rsidRPr="00054E92">
        <w:rPr>
          <w:rFonts w:eastAsia="Times New Roman" w:cstheme="minorHAnsi"/>
          <w:sz w:val="24"/>
          <w:szCs w:val="24"/>
        </w:rPr>
        <w:t>One of the more complex policy problems facing public officials and program administrators is that of poverty measurement. Saddled with a measure that dates from almost a half-century ago</w:t>
      </w:r>
      <w:r w:rsidR="007F6FE4" w:rsidRPr="00054E92">
        <w:rPr>
          <w:rFonts w:eastAsia="Times New Roman" w:cstheme="minorHAnsi"/>
          <w:sz w:val="24"/>
          <w:szCs w:val="24"/>
        </w:rPr>
        <w:t xml:space="preserve"> (Orshansky, 1965; Fisher, 19</w:t>
      </w:r>
      <w:bookmarkStart w:id="0" w:name="_GoBack"/>
      <w:bookmarkEnd w:id="0"/>
      <w:r w:rsidR="007F6FE4" w:rsidRPr="00054E92">
        <w:rPr>
          <w:rFonts w:eastAsia="Times New Roman" w:cstheme="minorHAnsi"/>
          <w:sz w:val="24"/>
          <w:szCs w:val="24"/>
        </w:rPr>
        <w:t>92)</w:t>
      </w:r>
      <w:r w:rsidRPr="00054E92">
        <w:rPr>
          <w:rFonts w:eastAsia="Times New Roman" w:cstheme="minorHAnsi"/>
          <w:sz w:val="24"/>
          <w:szCs w:val="24"/>
        </w:rPr>
        <w:t xml:space="preserve">, </w:t>
      </w:r>
      <w:r w:rsidR="00B01308" w:rsidRPr="00054E92">
        <w:rPr>
          <w:rFonts w:eastAsia="Times New Roman" w:cstheme="minorHAnsi"/>
          <w:sz w:val="24"/>
          <w:szCs w:val="24"/>
        </w:rPr>
        <w:t>c</w:t>
      </w:r>
      <w:r w:rsidRPr="00054E92">
        <w:rPr>
          <w:rFonts w:eastAsia="Times New Roman" w:cstheme="minorHAnsi"/>
          <w:sz w:val="24"/>
          <w:szCs w:val="24"/>
        </w:rPr>
        <w:t xml:space="preserve">ritiques </w:t>
      </w:r>
      <w:r w:rsidR="004E3DE9" w:rsidRPr="00054E92">
        <w:rPr>
          <w:rFonts w:eastAsia="Times New Roman" w:cstheme="minorHAnsi"/>
          <w:sz w:val="24"/>
          <w:szCs w:val="24"/>
        </w:rPr>
        <w:t>of the federal poverty measure</w:t>
      </w:r>
      <w:r w:rsidR="00B01308" w:rsidRPr="00054E92">
        <w:rPr>
          <w:rFonts w:eastAsia="Times New Roman" w:cstheme="minorHAnsi"/>
          <w:sz w:val="24"/>
          <w:szCs w:val="24"/>
        </w:rPr>
        <w:t xml:space="preserve"> </w:t>
      </w:r>
      <w:r w:rsidR="00F0499B" w:rsidRPr="00054E92">
        <w:rPr>
          <w:rFonts w:eastAsia="Times New Roman" w:cstheme="minorHAnsi"/>
          <w:sz w:val="24"/>
          <w:szCs w:val="24"/>
        </w:rPr>
        <w:t>burgeoned two decades ago from all quarters,</w:t>
      </w:r>
      <w:r w:rsidRPr="00054E92">
        <w:rPr>
          <w:rFonts w:eastAsia="Times New Roman" w:cstheme="minorHAnsi"/>
          <w:sz w:val="24"/>
          <w:szCs w:val="24"/>
        </w:rPr>
        <w:t xml:space="preserve"> from academics to service providers</w:t>
      </w:r>
      <w:r w:rsidR="006551F0" w:rsidRPr="00054E92">
        <w:rPr>
          <w:rFonts w:eastAsia="Times New Roman" w:cstheme="minorHAnsi"/>
          <w:sz w:val="24"/>
          <w:szCs w:val="24"/>
        </w:rPr>
        <w:t xml:space="preserve"> (</w:t>
      </w:r>
      <w:r w:rsidR="00B55DDE" w:rsidRPr="00054E92">
        <w:rPr>
          <w:rFonts w:eastAsia="Times New Roman" w:cstheme="minorHAnsi"/>
          <w:sz w:val="24"/>
          <w:szCs w:val="24"/>
        </w:rPr>
        <w:t>Ruggles,</w:t>
      </w:r>
      <w:r w:rsidR="005C4CDA" w:rsidRPr="00054E92">
        <w:rPr>
          <w:rFonts w:eastAsia="Times New Roman" w:cstheme="minorHAnsi"/>
          <w:sz w:val="24"/>
          <w:szCs w:val="24"/>
        </w:rPr>
        <w:t xml:space="preserve"> 1990;</w:t>
      </w:r>
      <w:r w:rsidR="00B55DDE" w:rsidRPr="00054E92">
        <w:rPr>
          <w:rFonts w:eastAsia="Times New Roman" w:cstheme="minorHAnsi"/>
          <w:sz w:val="24"/>
          <w:szCs w:val="24"/>
        </w:rPr>
        <w:t xml:space="preserve"> </w:t>
      </w:r>
      <w:r w:rsidR="00570B48" w:rsidRPr="00054E92">
        <w:rPr>
          <w:rFonts w:eastAsia="Times New Roman" w:cstheme="minorHAnsi"/>
          <w:sz w:val="24"/>
          <w:szCs w:val="24"/>
        </w:rPr>
        <w:t>Renwick and Bergman</w:t>
      </w:r>
      <w:r w:rsidR="009360EB" w:rsidRPr="00054E92">
        <w:rPr>
          <w:rFonts w:eastAsia="Times New Roman" w:cstheme="minorHAnsi"/>
          <w:sz w:val="24"/>
          <w:szCs w:val="24"/>
        </w:rPr>
        <w:t xml:space="preserve">, </w:t>
      </w:r>
      <w:r w:rsidR="0040126A" w:rsidRPr="00054E92">
        <w:rPr>
          <w:rFonts w:eastAsia="Times New Roman" w:cstheme="minorHAnsi"/>
          <w:sz w:val="24"/>
          <w:szCs w:val="24"/>
        </w:rPr>
        <w:t>199</w:t>
      </w:r>
      <w:r w:rsidR="009360EB" w:rsidRPr="00054E92">
        <w:rPr>
          <w:rFonts w:eastAsia="Times New Roman" w:cstheme="minorHAnsi"/>
          <w:sz w:val="24"/>
          <w:szCs w:val="24"/>
        </w:rPr>
        <w:t>3</w:t>
      </w:r>
      <w:r w:rsidR="006551F0" w:rsidRPr="00054E92">
        <w:rPr>
          <w:rFonts w:eastAsia="Times New Roman" w:cstheme="minorHAnsi"/>
          <w:sz w:val="24"/>
          <w:szCs w:val="24"/>
        </w:rPr>
        <w:t xml:space="preserve">).  </w:t>
      </w:r>
      <w:r w:rsidRPr="00054E92">
        <w:rPr>
          <w:rFonts w:eastAsia="Times New Roman" w:cstheme="minorHAnsi"/>
          <w:sz w:val="24"/>
          <w:szCs w:val="24"/>
        </w:rPr>
        <w:t xml:space="preserve">As </w:t>
      </w:r>
      <w:r w:rsidR="00F0499B" w:rsidRPr="00054E92">
        <w:rPr>
          <w:rFonts w:eastAsia="Times New Roman" w:cstheme="minorHAnsi"/>
          <w:sz w:val="24"/>
          <w:szCs w:val="24"/>
        </w:rPr>
        <w:t xml:space="preserve">this audience is well aware, </w:t>
      </w:r>
      <w:r w:rsidRPr="00054E92">
        <w:rPr>
          <w:rFonts w:eastAsia="Times New Roman" w:cstheme="minorHAnsi"/>
          <w:sz w:val="24"/>
          <w:szCs w:val="24"/>
        </w:rPr>
        <w:t>Congress mandated that the National Academy of Sciences analyze the issues with the FPL and make recommendations</w:t>
      </w:r>
      <w:r w:rsidR="007D2353" w:rsidRPr="00054E92">
        <w:rPr>
          <w:rFonts w:eastAsia="Times New Roman" w:cstheme="minorHAnsi"/>
          <w:sz w:val="24"/>
          <w:szCs w:val="24"/>
        </w:rPr>
        <w:t xml:space="preserve">, resulting in the comprehensive tome, </w:t>
      </w:r>
      <w:r w:rsidR="007D2353" w:rsidRPr="00054E92">
        <w:rPr>
          <w:rFonts w:eastAsia="Times New Roman" w:cstheme="minorHAnsi"/>
          <w:i/>
          <w:sz w:val="24"/>
          <w:szCs w:val="24"/>
        </w:rPr>
        <w:t>Measuring Poverty</w:t>
      </w:r>
      <w:r w:rsidR="00F80A63" w:rsidRPr="00054E92">
        <w:rPr>
          <w:rFonts w:eastAsia="Times New Roman" w:cstheme="minorHAnsi"/>
          <w:i/>
          <w:sz w:val="24"/>
          <w:szCs w:val="24"/>
        </w:rPr>
        <w:t xml:space="preserve"> </w:t>
      </w:r>
      <w:r w:rsidR="006551F0" w:rsidRPr="00054E92">
        <w:rPr>
          <w:rFonts w:eastAsia="Times New Roman" w:cstheme="minorHAnsi"/>
          <w:sz w:val="24"/>
          <w:szCs w:val="24"/>
        </w:rPr>
        <w:t>(</w:t>
      </w:r>
      <w:r w:rsidR="005C4CDA" w:rsidRPr="00054E92">
        <w:rPr>
          <w:rFonts w:eastAsia="Times New Roman" w:cstheme="minorHAnsi"/>
          <w:sz w:val="24"/>
          <w:szCs w:val="24"/>
        </w:rPr>
        <w:t>Citro and Michael, 1990</w:t>
      </w:r>
      <w:r w:rsidR="006551F0" w:rsidRPr="00054E92">
        <w:rPr>
          <w:rFonts w:eastAsia="Times New Roman" w:cstheme="minorHAnsi"/>
          <w:sz w:val="24"/>
          <w:szCs w:val="24"/>
        </w:rPr>
        <w:t>).</w:t>
      </w:r>
      <w:r w:rsidRPr="00054E92">
        <w:rPr>
          <w:rFonts w:eastAsia="Times New Roman" w:cstheme="minorHAnsi"/>
          <w:sz w:val="24"/>
          <w:szCs w:val="24"/>
        </w:rPr>
        <w:t xml:space="preserve"> </w:t>
      </w:r>
      <w:r w:rsidR="007D2353" w:rsidRPr="00054E92">
        <w:rPr>
          <w:rFonts w:cstheme="minorHAnsi"/>
          <w:sz w:val="24"/>
          <w:szCs w:val="24"/>
        </w:rPr>
        <w:t>Indeed</w:t>
      </w:r>
      <w:r w:rsidR="00D00B72" w:rsidRPr="00054E92">
        <w:rPr>
          <w:rFonts w:cstheme="minorHAnsi"/>
          <w:sz w:val="24"/>
          <w:szCs w:val="24"/>
        </w:rPr>
        <w:t>, revising the federal poverty measure</w:t>
      </w:r>
      <w:r w:rsidR="007D2353" w:rsidRPr="00054E92">
        <w:rPr>
          <w:rFonts w:cstheme="minorHAnsi"/>
          <w:sz w:val="24"/>
          <w:szCs w:val="24"/>
        </w:rPr>
        <w:t xml:space="preserve"> was the subject of the Keynote address of APPAM’s 2008 President, Rebecca Blank</w:t>
      </w:r>
      <w:r w:rsidR="00B01308" w:rsidRPr="00054E92">
        <w:rPr>
          <w:rFonts w:cstheme="minorHAnsi"/>
          <w:sz w:val="24"/>
          <w:szCs w:val="24"/>
        </w:rPr>
        <w:t xml:space="preserve">, who is now </w:t>
      </w:r>
      <w:r w:rsidR="002B7363" w:rsidRPr="00054E92">
        <w:rPr>
          <w:rFonts w:cstheme="minorHAnsi"/>
          <w:sz w:val="24"/>
          <w:szCs w:val="24"/>
        </w:rPr>
        <w:t xml:space="preserve">Acting </w:t>
      </w:r>
      <w:r w:rsidR="00B01308" w:rsidRPr="00054E92">
        <w:rPr>
          <w:rFonts w:cstheme="minorHAnsi"/>
          <w:sz w:val="24"/>
          <w:szCs w:val="24"/>
        </w:rPr>
        <w:t>Secretary of Commerce</w:t>
      </w:r>
      <w:r w:rsidR="002B7363" w:rsidRPr="00054E92">
        <w:rPr>
          <w:rFonts w:cstheme="minorHAnsi"/>
          <w:sz w:val="24"/>
          <w:szCs w:val="24"/>
        </w:rPr>
        <w:t xml:space="preserve"> and Under Secretary of Commerce for Economic Affairs</w:t>
      </w:r>
      <w:r w:rsidR="005C4CDA" w:rsidRPr="00054E92">
        <w:rPr>
          <w:rFonts w:cstheme="minorHAnsi"/>
          <w:sz w:val="24"/>
          <w:szCs w:val="24"/>
        </w:rPr>
        <w:t xml:space="preserve"> </w:t>
      </w:r>
      <w:r w:rsidR="006551F0" w:rsidRPr="00054E92">
        <w:rPr>
          <w:rFonts w:eastAsia="Times New Roman" w:cstheme="minorHAnsi"/>
          <w:sz w:val="24"/>
          <w:szCs w:val="24"/>
        </w:rPr>
        <w:t>(</w:t>
      </w:r>
      <w:r w:rsidR="005C4CDA" w:rsidRPr="00054E92">
        <w:rPr>
          <w:rFonts w:eastAsia="Times New Roman" w:cstheme="minorHAnsi"/>
          <w:sz w:val="24"/>
          <w:szCs w:val="24"/>
        </w:rPr>
        <w:t>Blank, 2008</w:t>
      </w:r>
      <w:r w:rsidR="006551F0" w:rsidRPr="00054E92">
        <w:rPr>
          <w:rFonts w:eastAsia="Times New Roman" w:cstheme="minorHAnsi"/>
          <w:sz w:val="24"/>
          <w:szCs w:val="24"/>
        </w:rPr>
        <w:t xml:space="preserve">). </w:t>
      </w:r>
      <w:r w:rsidR="00F0499B" w:rsidRPr="00054E92">
        <w:rPr>
          <w:rFonts w:eastAsia="Times New Roman" w:cstheme="minorHAnsi"/>
          <w:sz w:val="24"/>
          <w:szCs w:val="24"/>
        </w:rPr>
        <w:t>Two dec</w:t>
      </w:r>
      <w:r w:rsidR="007D2353" w:rsidRPr="00054E92">
        <w:rPr>
          <w:rFonts w:eastAsia="Times New Roman" w:cstheme="minorHAnsi"/>
          <w:sz w:val="24"/>
          <w:szCs w:val="24"/>
        </w:rPr>
        <w:t>ades of work, much of it led by</w:t>
      </w:r>
      <w:r w:rsidR="00F0499B" w:rsidRPr="00054E92">
        <w:rPr>
          <w:rFonts w:eastAsia="Times New Roman" w:cstheme="minorHAnsi"/>
          <w:sz w:val="24"/>
          <w:szCs w:val="24"/>
        </w:rPr>
        <w:t xml:space="preserve"> Blank,</w:t>
      </w:r>
      <w:r w:rsidRPr="00054E92">
        <w:rPr>
          <w:rFonts w:eastAsia="Times New Roman" w:cstheme="minorHAnsi"/>
          <w:sz w:val="24"/>
          <w:szCs w:val="24"/>
        </w:rPr>
        <w:t xml:space="preserve"> ultimately resulted in the development of the new Supplementary Poverty Measure (SPM), currently being refined and implemen</w:t>
      </w:r>
      <w:r w:rsidR="00F0499B" w:rsidRPr="00054E92">
        <w:rPr>
          <w:rFonts w:eastAsia="Times New Roman" w:cstheme="minorHAnsi"/>
          <w:sz w:val="24"/>
          <w:szCs w:val="24"/>
        </w:rPr>
        <w:t>ted by the Obama Admini</w:t>
      </w:r>
      <w:r w:rsidR="007D2353" w:rsidRPr="00054E92">
        <w:rPr>
          <w:rFonts w:eastAsia="Times New Roman" w:cstheme="minorHAnsi"/>
          <w:sz w:val="24"/>
          <w:szCs w:val="24"/>
        </w:rPr>
        <w:t>stration</w:t>
      </w:r>
      <w:r w:rsidR="0052616D" w:rsidRPr="00054E92">
        <w:rPr>
          <w:rFonts w:eastAsia="Times New Roman" w:cstheme="minorHAnsi"/>
          <w:sz w:val="24"/>
          <w:szCs w:val="24"/>
        </w:rPr>
        <w:t xml:space="preserve"> (</w:t>
      </w:r>
      <w:r w:rsidR="005C4CDA" w:rsidRPr="00054E92">
        <w:rPr>
          <w:rFonts w:eastAsia="Times New Roman" w:cstheme="minorHAnsi"/>
          <w:sz w:val="24"/>
          <w:szCs w:val="24"/>
        </w:rPr>
        <w:t>Interagency Technical Working Group, 2010</w:t>
      </w:r>
      <w:r w:rsidR="0052616D" w:rsidRPr="00054E92">
        <w:rPr>
          <w:rFonts w:eastAsia="Times New Roman" w:cstheme="minorHAnsi"/>
          <w:sz w:val="24"/>
          <w:szCs w:val="24"/>
        </w:rPr>
        <w:t>)</w:t>
      </w:r>
      <w:r w:rsidR="007D2353" w:rsidRPr="00054E92">
        <w:rPr>
          <w:rFonts w:eastAsia="Times New Roman" w:cstheme="minorHAnsi"/>
          <w:sz w:val="24"/>
          <w:szCs w:val="24"/>
        </w:rPr>
        <w:t>.</w:t>
      </w:r>
      <w:r w:rsidRPr="00054E92">
        <w:rPr>
          <w:rFonts w:eastAsia="Times New Roman" w:cstheme="minorHAnsi"/>
          <w:sz w:val="24"/>
          <w:szCs w:val="24"/>
        </w:rPr>
        <w:t xml:space="preserve"> </w:t>
      </w:r>
    </w:p>
    <w:p w:rsidR="00F840EB" w:rsidRPr="00054E92" w:rsidRDefault="00EE1228" w:rsidP="00DB6B91">
      <w:pPr>
        <w:ind w:firstLine="720"/>
        <w:rPr>
          <w:rFonts w:eastAsia="Times New Roman" w:cstheme="minorHAnsi"/>
          <w:sz w:val="24"/>
          <w:szCs w:val="24"/>
        </w:rPr>
      </w:pPr>
      <w:r w:rsidRPr="00054E92">
        <w:rPr>
          <w:rFonts w:eastAsia="Times New Roman" w:cstheme="minorHAnsi"/>
          <w:sz w:val="24"/>
          <w:szCs w:val="24"/>
        </w:rPr>
        <w:t>Meanwhile,</w:t>
      </w:r>
      <w:r w:rsidR="00B95C8F" w:rsidRPr="00054E92">
        <w:rPr>
          <w:rFonts w:eastAsia="Times New Roman" w:cstheme="minorHAnsi"/>
          <w:sz w:val="24"/>
          <w:szCs w:val="24"/>
        </w:rPr>
        <w:t xml:space="preserve"> many </w:t>
      </w:r>
      <w:r w:rsidR="007D2353" w:rsidRPr="00054E92">
        <w:rPr>
          <w:rFonts w:eastAsia="Times New Roman" w:cstheme="minorHAnsi"/>
          <w:sz w:val="24"/>
          <w:szCs w:val="24"/>
        </w:rPr>
        <w:t xml:space="preserve">of the </w:t>
      </w:r>
      <w:r w:rsidR="00B95C8F" w:rsidRPr="00054E92">
        <w:rPr>
          <w:rFonts w:eastAsia="Times New Roman" w:cstheme="minorHAnsi"/>
          <w:sz w:val="24"/>
          <w:szCs w:val="24"/>
        </w:rPr>
        <w:t>reports and articles</w:t>
      </w:r>
      <w:r w:rsidR="007D2353" w:rsidRPr="00054E92">
        <w:rPr>
          <w:rFonts w:eastAsia="Times New Roman" w:cstheme="minorHAnsi"/>
          <w:sz w:val="24"/>
          <w:szCs w:val="24"/>
        </w:rPr>
        <w:t xml:space="preserve"> calling for a revision of the federal poverty measure</w:t>
      </w:r>
      <w:r w:rsidR="00B95C8F" w:rsidRPr="00054E92">
        <w:rPr>
          <w:rFonts w:eastAsia="Times New Roman" w:cstheme="minorHAnsi"/>
          <w:sz w:val="24"/>
          <w:szCs w:val="24"/>
        </w:rPr>
        <w:t xml:space="preserve"> </w:t>
      </w:r>
      <w:r w:rsidRPr="00054E92">
        <w:rPr>
          <w:rFonts w:eastAsia="Times New Roman" w:cstheme="minorHAnsi"/>
          <w:sz w:val="24"/>
          <w:szCs w:val="24"/>
        </w:rPr>
        <w:t>include</w:t>
      </w:r>
      <w:r w:rsidR="00D00B72" w:rsidRPr="00054E92">
        <w:rPr>
          <w:rFonts w:eastAsia="Times New Roman" w:cstheme="minorHAnsi"/>
          <w:sz w:val="24"/>
          <w:szCs w:val="24"/>
        </w:rPr>
        <w:t xml:space="preserve"> </w:t>
      </w:r>
      <w:r w:rsidR="0039386E" w:rsidRPr="00054E92">
        <w:rPr>
          <w:rFonts w:eastAsia="Times New Roman" w:cstheme="minorHAnsi"/>
          <w:sz w:val="24"/>
          <w:szCs w:val="24"/>
        </w:rPr>
        <w:t xml:space="preserve">or </w:t>
      </w:r>
      <w:r w:rsidRPr="00054E92">
        <w:rPr>
          <w:rFonts w:eastAsia="Times New Roman" w:cstheme="minorHAnsi"/>
          <w:sz w:val="24"/>
          <w:szCs w:val="24"/>
        </w:rPr>
        <w:t xml:space="preserve">are </w:t>
      </w:r>
      <w:r w:rsidR="0039386E" w:rsidRPr="00054E92">
        <w:rPr>
          <w:rFonts w:eastAsia="Times New Roman" w:cstheme="minorHAnsi"/>
          <w:sz w:val="24"/>
          <w:szCs w:val="24"/>
        </w:rPr>
        <w:t>even centered on the issue of</w:t>
      </w:r>
      <w:r w:rsidR="00D00B72" w:rsidRPr="00054E92">
        <w:rPr>
          <w:rFonts w:eastAsia="Times New Roman" w:cstheme="minorHAnsi"/>
          <w:sz w:val="24"/>
          <w:szCs w:val="24"/>
        </w:rPr>
        <w:t xml:space="preserve"> </w:t>
      </w:r>
      <w:r w:rsidRPr="00054E92">
        <w:rPr>
          <w:rFonts w:eastAsia="Times New Roman" w:cstheme="minorHAnsi"/>
          <w:sz w:val="24"/>
          <w:szCs w:val="24"/>
        </w:rPr>
        <w:t xml:space="preserve">the </w:t>
      </w:r>
      <w:r w:rsidR="00D00B72" w:rsidRPr="00054E92">
        <w:rPr>
          <w:rFonts w:eastAsia="Times New Roman" w:cstheme="minorHAnsi"/>
          <w:sz w:val="24"/>
          <w:szCs w:val="24"/>
        </w:rPr>
        <w:t>thresholds</w:t>
      </w:r>
      <w:r w:rsidR="0039386E" w:rsidRPr="00054E92">
        <w:rPr>
          <w:rFonts w:eastAsia="Times New Roman" w:cstheme="minorHAnsi"/>
          <w:sz w:val="24"/>
          <w:szCs w:val="24"/>
        </w:rPr>
        <w:t xml:space="preserve"> being too low</w:t>
      </w:r>
      <w:r w:rsidR="00F80A63" w:rsidRPr="00054E92">
        <w:rPr>
          <w:rFonts w:eastAsia="Times New Roman" w:cstheme="minorHAnsi"/>
          <w:sz w:val="24"/>
          <w:szCs w:val="24"/>
        </w:rPr>
        <w:t xml:space="preserve"> </w:t>
      </w:r>
      <w:r w:rsidR="006551F0" w:rsidRPr="00054E92">
        <w:rPr>
          <w:rFonts w:eastAsia="Times New Roman" w:cstheme="minorHAnsi"/>
          <w:sz w:val="24"/>
          <w:szCs w:val="24"/>
        </w:rPr>
        <w:t>(</w:t>
      </w:r>
      <w:r w:rsidR="003A2F1E" w:rsidRPr="00054E92">
        <w:rPr>
          <w:rFonts w:eastAsia="Times New Roman" w:cstheme="minorHAnsi"/>
          <w:sz w:val="24"/>
          <w:szCs w:val="24"/>
        </w:rPr>
        <w:t>Greenberg, 2009</w:t>
      </w:r>
      <w:r w:rsidR="006551F0" w:rsidRPr="00054E92">
        <w:rPr>
          <w:rFonts w:eastAsia="Times New Roman" w:cstheme="minorHAnsi"/>
          <w:sz w:val="24"/>
          <w:szCs w:val="24"/>
        </w:rPr>
        <w:t>)</w:t>
      </w:r>
      <w:r w:rsidRPr="00054E92">
        <w:rPr>
          <w:rFonts w:eastAsia="Times New Roman" w:cstheme="minorHAnsi"/>
          <w:sz w:val="24"/>
          <w:szCs w:val="24"/>
        </w:rPr>
        <w:t>.  Nevertheless,</w:t>
      </w:r>
      <w:r w:rsidR="00D00B72" w:rsidRPr="00054E92">
        <w:rPr>
          <w:rFonts w:eastAsia="Times New Roman" w:cstheme="minorHAnsi"/>
          <w:sz w:val="24"/>
          <w:szCs w:val="24"/>
        </w:rPr>
        <w:t xml:space="preserve"> </w:t>
      </w:r>
      <w:r w:rsidR="00B95C8F" w:rsidRPr="00054E92">
        <w:rPr>
          <w:rFonts w:eastAsia="Times New Roman" w:cstheme="minorHAnsi"/>
          <w:sz w:val="24"/>
          <w:szCs w:val="24"/>
        </w:rPr>
        <w:t xml:space="preserve">little attention </w:t>
      </w:r>
      <w:r w:rsidR="002B7363" w:rsidRPr="00054E92">
        <w:rPr>
          <w:rFonts w:eastAsia="Times New Roman" w:cstheme="minorHAnsi"/>
          <w:sz w:val="24"/>
          <w:szCs w:val="24"/>
        </w:rPr>
        <w:t>has been</w:t>
      </w:r>
      <w:r w:rsidR="00B95C8F" w:rsidRPr="00054E92">
        <w:rPr>
          <w:rFonts w:eastAsia="Times New Roman" w:cstheme="minorHAnsi"/>
          <w:sz w:val="24"/>
          <w:szCs w:val="24"/>
        </w:rPr>
        <w:t xml:space="preserve"> paid to th</w:t>
      </w:r>
      <w:r w:rsidR="00D00B72" w:rsidRPr="00054E92">
        <w:rPr>
          <w:rFonts w:eastAsia="Times New Roman" w:cstheme="minorHAnsi"/>
          <w:sz w:val="24"/>
          <w:szCs w:val="24"/>
        </w:rPr>
        <w:t xml:space="preserve">is issue </w:t>
      </w:r>
      <w:r w:rsidR="0039386E" w:rsidRPr="00054E92">
        <w:rPr>
          <w:rFonts w:eastAsia="Times New Roman" w:cstheme="minorHAnsi"/>
          <w:sz w:val="24"/>
          <w:szCs w:val="24"/>
        </w:rPr>
        <w:t>as the process of</w:t>
      </w:r>
      <w:r w:rsidR="00D00B72" w:rsidRPr="00054E92">
        <w:rPr>
          <w:rFonts w:eastAsia="Times New Roman" w:cstheme="minorHAnsi"/>
          <w:sz w:val="24"/>
          <w:szCs w:val="24"/>
        </w:rPr>
        <w:t xml:space="preserve"> implementing the NAS recommendations </w:t>
      </w:r>
      <w:r w:rsidR="00DE4ABE" w:rsidRPr="00054E92">
        <w:rPr>
          <w:rFonts w:eastAsia="Times New Roman" w:cstheme="minorHAnsi"/>
          <w:sz w:val="24"/>
          <w:szCs w:val="24"/>
        </w:rPr>
        <w:t>has proceeded</w:t>
      </w:r>
      <w:r w:rsidR="00C01FE9" w:rsidRPr="00054E92">
        <w:rPr>
          <w:rFonts w:eastAsia="Times New Roman" w:cstheme="minorHAnsi"/>
          <w:sz w:val="24"/>
          <w:szCs w:val="24"/>
        </w:rPr>
        <w:t xml:space="preserve">. </w:t>
      </w:r>
      <w:r w:rsidR="0052616D" w:rsidRPr="00054E92">
        <w:rPr>
          <w:rFonts w:eastAsia="Times New Roman" w:cstheme="minorHAnsi"/>
          <w:sz w:val="24"/>
          <w:szCs w:val="24"/>
        </w:rPr>
        <w:t>While the SPM approach to poverty measurement has many advantages for measuring and analyzing poverty</w:t>
      </w:r>
      <w:r w:rsidRPr="00054E92">
        <w:rPr>
          <w:rFonts w:eastAsia="Times New Roman" w:cstheme="minorHAnsi"/>
          <w:sz w:val="24"/>
          <w:szCs w:val="24"/>
        </w:rPr>
        <w:t xml:space="preserve"> trends</w:t>
      </w:r>
      <w:r w:rsidR="0052616D" w:rsidRPr="00054E92">
        <w:rPr>
          <w:rFonts w:eastAsia="Times New Roman" w:cstheme="minorHAnsi"/>
          <w:sz w:val="24"/>
          <w:szCs w:val="24"/>
        </w:rPr>
        <w:t>, it does not res</w:t>
      </w:r>
      <w:r w:rsidRPr="00054E92">
        <w:rPr>
          <w:rFonts w:eastAsia="Times New Roman" w:cstheme="minorHAnsi"/>
          <w:sz w:val="24"/>
          <w:szCs w:val="24"/>
        </w:rPr>
        <w:t xml:space="preserve">ult in "stand alone" thresholds </w:t>
      </w:r>
      <w:r w:rsidR="004E3DE9" w:rsidRPr="00054E92">
        <w:rPr>
          <w:rFonts w:eastAsia="Times New Roman" w:cstheme="minorHAnsi"/>
          <w:sz w:val="24"/>
          <w:szCs w:val="24"/>
        </w:rPr>
        <w:t>comparable</w:t>
      </w:r>
      <w:r w:rsidR="0052616D" w:rsidRPr="00054E92">
        <w:rPr>
          <w:rFonts w:eastAsia="Times New Roman" w:cstheme="minorHAnsi"/>
          <w:sz w:val="24"/>
          <w:szCs w:val="24"/>
        </w:rPr>
        <w:t xml:space="preserve"> to the </w:t>
      </w:r>
      <w:r w:rsidR="004E3DE9" w:rsidRPr="00054E92">
        <w:rPr>
          <w:rFonts w:eastAsia="Times New Roman" w:cstheme="minorHAnsi"/>
          <w:sz w:val="24"/>
          <w:szCs w:val="24"/>
        </w:rPr>
        <w:t>federal poverty measure (or as it is commonly called by program providers, the Federal Poverty line, or the FPL)</w:t>
      </w:r>
      <w:r w:rsidR="0052616D" w:rsidRPr="00054E92">
        <w:rPr>
          <w:rFonts w:eastAsia="Times New Roman" w:cstheme="minorHAnsi"/>
          <w:sz w:val="24"/>
          <w:szCs w:val="24"/>
        </w:rPr>
        <w:t xml:space="preserve">. </w:t>
      </w:r>
      <w:r w:rsidR="00C01FE9" w:rsidRPr="00054E92">
        <w:rPr>
          <w:rFonts w:eastAsia="Times New Roman" w:cstheme="minorHAnsi"/>
          <w:sz w:val="24"/>
          <w:szCs w:val="24"/>
        </w:rPr>
        <w:t xml:space="preserve"> </w:t>
      </w:r>
      <w:r w:rsidR="004E3DE9" w:rsidRPr="00054E92">
        <w:rPr>
          <w:rFonts w:eastAsia="Times New Roman" w:cstheme="minorHAnsi"/>
          <w:sz w:val="24"/>
          <w:szCs w:val="24"/>
        </w:rPr>
        <w:t>From the prospective of program providers who sought a new poverty measure that provides new, but improved (and higher, geographically varied) thresholds, the NAS/SPM measure has two major drawbacks: they are</w:t>
      </w:r>
      <w:r w:rsidR="00F840EB" w:rsidRPr="00054E92">
        <w:rPr>
          <w:rFonts w:eastAsia="Times New Roman" w:cstheme="minorHAnsi"/>
          <w:sz w:val="24"/>
          <w:szCs w:val="24"/>
        </w:rPr>
        <w:t xml:space="preserve"> intermediate</w:t>
      </w:r>
      <w:r w:rsidR="004E3DE9" w:rsidRPr="00054E92">
        <w:rPr>
          <w:rFonts w:eastAsia="Times New Roman" w:cstheme="minorHAnsi"/>
          <w:sz w:val="24"/>
          <w:szCs w:val="24"/>
        </w:rPr>
        <w:t xml:space="preserve"> and they are</w:t>
      </w:r>
      <w:r w:rsidR="00F840EB" w:rsidRPr="00054E92">
        <w:rPr>
          <w:rFonts w:eastAsia="Times New Roman" w:cstheme="minorHAnsi"/>
          <w:sz w:val="24"/>
          <w:szCs w:val="24"/>
        </w:rPr>
        <w:t xml:space="preserve"> partial</w:t>
      </w:r>
      <w:r w:rsidR="004E3DE9" w:rsidRPr="00054E92">
        <w:rPr>
          <w:rFonts w:eastAsia="Times New Roman" w:cstheme="minorHAnsi"/>
          <w:sz w:val="24"/>
          <w:szCs w:val="24"/>
        </w:rPr>
        <w:t xml:space="preserve">. </w:t>
      </w:r>
    </w:p>
    <w:p w:rsidR="00F840EB" w:rsidRPr="00054E92" w:rsidRDefault="00F840EB" w:rsidP="00DB6B91">
      <w:pPr>
        <w:ind w:firstLine="720"/>
        <w:rPr>
          <w:rFonts w:eastAsia="Times New Roman" w:cstheme="minorHAnsi"/>
          <w:sz w:val="24"/>
          <w:szCs w:val="24"/>
        </w:rPr>
      </w:pPr>
      <w:r w:rsidRPr="00054E92">
        <w:rPr>
          <w:rFonts w:eastAsia="Times New Roman" w:cstheme="minorHAnsi"/>
          <w:sz w:val="24"/>
          <w:szCs w:val="24"/>
        </w:rPr>
        <w:t xml:space="preserve">First, the thresholds are intermediate in the process of determining poverty status.  Unlike the FPL, poverty status in the SPM is not determined by simply comparing gross income to the SPM thresholds.  Instead, income is first adjusted to reflect taxes and tax credits, cash </w:t>
      </w:r>
      <w:r w:rsidRPr="00054E92">
        <w:rPr>
          <w:rFonts w:eastAsia="Times New Roman" w:cstheme="minorHAnsi"/>
          <w:sz w:val="24"/>
          <w:szCs w:val="24"/>
        </w:rPr>
        <w:lastRenderedPageBreak/>
        <w:t>and near cash benefits that provide for core essentials (e.g., food stamps or housing assistance), and actual expenditures for work-related expenses and health care</w:t>
      </w:r>
      <w:r w:rsidR="00EE1228" w:rsidRPr="00054E92">
        <w:rPr>
          <w:rFonts w:eastAsia="Times New Roman" w:cstheme="minorHAnsi"/>
          <w:sz w:val="24"/>
          <w:szCs w:val="24"/>
        </w:rPr>
        <w:t xml:space="preserve"> </w:t>
      </w:r>
      <w:r w:rsidRPr="00054E92">
        <w:rPr>
          <w:rFonts w:eastAsia="Times New Roman" w:cstheme="minorHAnsi"/>
          <w:sz w:val="24"/>
          <w:szCs w:val="24"/>
        </w:rPr>
        <w:t>(</w:t>
      </w:r>
      <w:r w:rsidR="008953C3" w:rsidRPr="00054E92">
        <w:rPr>
          <w:rFonts w:eastAsia="Times New Roman" w:cstheme="minorHAnsi"/>
          <w:sz w:val="24"/>
          <w:szCs w:val="24"/>
        </w:rPr>
        <w:t>FOCUS, 1995</w:t>
      </w:r>
      <w:r w:rsidR="007F6FE4" w:rsidRPr="00054E92">
        <w:rPr>
          <w:rFonts w:eastAsia="Times New Roman" w:cstheme="minorHAnsi"/>
          <w:sz w:val="24"/>
          <w:szCs w:val="24"/>
        </w:rPr>
        <w:t xml:space="preserve">; </w:t>
      </w:r>
      <w:r w:rsidR="0077547B" w:rsidRPr="00054E92">
        <w:rPr>
          <w:rFonts w:eastAsia="Times New Roman" w:cstheme="minorHAnsi"/>
          <w:sz w:val="24"/>
          <w:szCs w:val="24"/>
        </w:rPr>
        <w:t>Garner and Short, 2008</w:t>
      </w:r>
      <w:r w:rsidRPr="00054E92">
        <w:rPr>
          <w:rFonts w:eastAsia="Times New Roman" w:cstheme="minorHAnsi"/>
          <w:sz w:val="24"/>
          <w:szCs w:val="24"/>
        </w:rPr>
        <w:t xml:space="preserve">).  That is, one can have income over the threshold, but have expenses, such as for medical care, that reduces one’s income and thus be deemed poor.  At the same time, one’s cash income may be below the threshold, but when a more robust accounting of resources, such as the value of food stamps received is added, one is no longer counted as poor. </w:t>
      </w:r>
    </w:p>
    <w:p w:rsidR="00F840EB" w:rsidRPr="00054E92" w:rsidRDefault="00182030" w:rsidP="00DB6B91">
      <w:pPr>
        <w:ind w:firstLine="720"/>
        <w:rPr>
          <w:rFonts w:eastAsia="Times New Roman" w:cstheme="minorHAnsi"/>
          <w:sz w:val="24"/>
          <w:szCs w:val="24"/>
        </w:rPr>
      </w:pPr>
      <w:r w:rsidRPr="00054E92">
        <w:rPr>
          <w:rFonts w:eastAsia="Times New Roman" w:cstheme="minorHAnsi"/>
          <w:sz w:val="24"/>
          <w:szCs w:val="24"/>
        </w:rPr>
        <w:t>Furthermore, t</w:t>
      </w:r>
      <w:r w:rsidR="000045EE" w:rsidRPr="00054E92">
        <w:rPr>
          <w:rFonts w:eastAsia="Times New Roman" w:cstheme="minorHAnsi"/>
          <w:sz w:val="24"/>
          <w:szCs w:val="24"/>
        </w:rPr>
        <w:t>he</w:t>
      </w:r>
      <w:r w:rsidR="00021B58" w:rsidRPr="00054E92">
        <w:rPr>
          <w:rFonts w:eastAsia="Times New Roman" w:cstheme="minorHAnsi"/>
          <w:sz w:val="24"/>
          <w:szCs w:val="24"/>
        </w:rPr>
        <w:t xml:space="preserve"> SPM thresholds</w:t>
      </w:r>
      <w:r w:rsidR="000045EE" w:rsidRPr="00054E92">
        <w:rPr>
          <w:rFonts w:eastAsia="Times New Roman" w:cstheme="minorHAnsi"/>
          <w:sz w:val="24"/>
          <w:szCs w:val="24"/>
        </w:rPr>
        <w:t xml:space="preserve"> are </w:t>
      </w:r>
      <w:r w:rsidR="000045EE" w:rsidRPr="00054E92">
        <w:rPr>
          <w:rFonts w:eastAsia="Times New Roman" w:cstheme="minorHAnsi"/>
          <w:i/>
          <w:sz w:val="24"/>
          <w:szCs w:val="24"/>
        </w:rPr>
        <w:t>partial</w:t>
      </w:r>
      <w:r w:rsidR="000045EE" w:rsidRPr="00054E92">
        <w:rPr>
          <w:rFonts w:eastAsia="Times New Roman" w:cstheme="minorHAnsi"/>
          <w:sz w:val="24"/>
          <w:szCs w:val="24"/>
        </w:rPr>
        <w:t xml:space="preserve">, that is, </w:t>
      </w:r>
      <w:r w:rsidRPr="00054E92">
        <w:rPr>
          <w:rFonts w:eastAsia="Times New Roman" w:cstheme="minorHAnsi"/>
          <w:sz w:val="24"/>
          <w:szCs w:val="24"/>
        </w:rPr>
        <w:t xml:space="preserve">they </w:t>
      </w:r>
      <w:r w:rsidR="000045EE" w:rsidRPr="00054E92">
        <w:rPr>
          <w:rFonts w:eastAsia="Times New Roman" w:cstheme="minorHAnsi"/>
          <w:sz w:val="24"/>
          <w:szCs w:val="24"/>
        </w:rPr>
        <w:t xml:space="preserve">only </w:t>
      </w:r>
      <w:r w:rsidRPr="00054E92">
        <w:rPr>
          <w:rFonts w:eastAsia="Times New Roman" w:cstheme="minorHAnsi"/>
          <w:sz w:val="24"/>
          <w:szCs w:val="24"/>
        </w:rPr>
        <w:t>include</w:t>
      </w:r>
      <w:r w:rsidR="000045EE" w:rsidRPr="00054E92">
        <w:rPr>
          <w:rFonts w:eastAsia="Times New Roman" w:cstheme="minorHAnsi"/>
          <w:sz w:val="24"/>
          <w:szCs w:val="24"/>
        </w:rPr>
        <w:t xml:space="preserve"> the “core essentials” of survival (food, shelter, </w:t>
      </w:r>
      <w:r w:rsidR="00466C07" w:rsidRPr="00054E92">
        <w:rPr>
          <w:rFonts w:eastAsia="Times New Roman" w:cstheme="minorHAnsi"/>
          <w:sz w:val="24"/>
          <w:szCs w:val="24"/>
        </w:rPr>
        <w:t xml:space="preserve">and </w:t>
      </w:r>
      <w:r w:rsidR="000045EE" w:rsidRPr="00054E92">
        <w:rPr>
          <w:rFonts w:eastAsia="Times New Roman" w:cstheme="minorHAnsi"/>
          <w:sz w:val="24"/>
          <w:szCs w:val="24"/>
        </w:rPr>
        <w:t>clothing) but not needs required to function in society (such as health care or transportation)</w:t>
      </w:r>
      <w:r w:rsidR="00021B58" w:rsidRPr="00054E92">
        <w:rPr>
          <w:rFonts w:eastAsia="Times New Roman" w:cstheme="minorHAnsi"/>
          <w:sz w:val="24"/>
          <w:szCs w:val="24"/>
        </w:rPr>
        <w:t>.</w:t>
      </w:r>
      <w:r w:rsidR="0052616D" w:rsidRPr="00054E92">
        <w:rPr>
          <w:rFonts w:eastAsia="Times New Roman" w:cstheme="minorHAnsi"/>
          <w:sz w:val="24"/>
          <w:szCs w:val="24"/>
        </w:rPr>
        <w:t xml:space="preserve">  As some have pointed out, t</w:t>
      </w:r>
      <w:r w:rsidR="00021B58" w:rsidRPr="00054E92">
        <w:rPr>
          <w:rFonts w:eastAsia="Times New Roman" w:cstheme="minorHAnsi"/>
          <w:sz w:val="24"/>
          <w:szCs w:val="24"/>
        </w:rPr>
        <w:t>he SPM thresholds are set at a level that is best desc</w:t>
      </w:r>
      <w:r w:rsidR="004E3DE9" w:rsidRPr="00054E92">
        <w:rPr>
          <w:rFonts w:eastAsia="Times New Roman" w:cstheme="minorHAnsi"/>
          <w:sz w:val="24"/>
          <w:szCs w:val="24"/>
        </w:rPr>
        <w:t>ribed as measuring deprivation</w:t>
      </w:r>
      <w:r w:rsidR="0052616D" w:rsidRPr="00054E92">
        <w:rPr>
          <w:rFonts w:eastAsia="Times New Roman" w:cstheme="minorHAnsi"/>
          <w:sz w:val="24"/>
          <w:szCs w:val="24"/>
        </w:rPr>
        <w:t xml:space="preserve"> (</w:t>
      </w:r>
      <w:r w:rsidR="00435C92" w:rsidRPr="00054E92">
        <w:rPr>
          <w:rFonts w:eastAsia="Times New Roman" w:cstheme="minorHAnsi"/>
          <w:sz w:val="24"/>
          <w:szCs w:val="24"/>
        </w:rPr>
        <w:t>Ca</w:t>
      </w:r>
      <w:r w:rsidR="008953C3" w:rsidRPr="00054E92">
        <w:rPr>
          <w:rFonts w:eastAsia="Times New Roman" w:cstheme="minorHAnsi"/>
          <w:sz w:val="24"/>
          <w:szCs w:val="24"/>
        </w:rPr>
        <w:t>u</w:t>
      </w:r>
      <w:r w:rsidR="00435C92" w:rsidRPr="00054E92">
        <w:rPr>
          <w:rFonts w:eastAsia="Times New Roman" w:cstheme="minorHAnsi"/>
          <w:sz w:val="24"/>
          <w:szCs w:val="24"/>
        </w:rPr>
        <w:t>then &amp; Fass, 2008</w:t>
      </w:r>
      <w:r w:rsidR="0052616D" w:rsidRPr="00054E92">
        <w:rPr>
          <w:rFonts w:eastAsia="Times New Roman" w:cstheme="minorHAnsi"/>
          <w:sz w:val="24"/>
          <w:szCs w:val="24"/>
        </w:rPr>
        <w:t>)</w:t>
      </w:r>
      <w:r w:rsidR="00021B58" w:rsidRPr="00054E92">
        <w:rPr>
          <w:rFonts w:eastAsia="Times New Roman" w:cstheme="minorHAnsi"/>
          <w:sz w:val="24"/>
          <w:szCs w:val="24"/>
        </w:rPr>
        <w:t>.</w:t>
      </w:r>
      <w:r w:rsidR="004E3DE9" w:rsidRPr="00054E92">
        <w:rPr>
          <w:rFonts w:eastAsia="Times New Roman" w:cstheme="minorHAnsi"/>
          <w:sz w:val="24"/>
          <w:szCs w:val="24"/>
        </w:rPr>
        <w:t xml:space="preserve"> </w:t>
      </w:r>
      <w:r w:rsidR="00A215CD" w:rsidRPr="00054E92">
        <w:rPr>
          <w:rFonts w:eastAsia="Times New Roman" w:cstheme="minorHAnsi"/>
          <w:sz w:val="24"/>
          <w:szCs w:val="24"/>
        </w:rPr>
        <w:t xml:space="preserve"> </w:t>
      </w:r>
      <w:r w:rsidR="00F840EB" w:rsidRPr="00054E92">
        <w:rPr>
          <w:rFonts w:eastAsia="Times New Roman" w:cstheme="minorHAnsi"/>
          <w:sz w:val="24"/>
          <w:szCs w:val="24"/>
        </w:rPr>
        <w:t xml:space="preserve">As a result, the thresholds used by the NAS/SPM are set a level that is </w:t>
      </w:r>
      <w:r w:rsidR="00A215CD" w:rsidRPr="00054E92">
        <w:rPr>
          <w:rFonts w:eastAsia="Times New Roman" w:cstheme="minorHAnsi"/>
          <w:sz w:val="24"/>
          <w:szCs w:val="24"/>
        </w:rPr>
        <w:t>only slightly above</w:t>
      </w:r>
      <w:r w:rsidR="00F840EB" w:rsidRPr="00054E92">
        <w:rPr>
          <w:rFonts w:eastAsia="Times New Roman" w:cstheme="minorHAnsi"/>
          <w:sz w:val="24"/>
          <w:szCs w:val="24"/>
        </w:rPr>
        <w:t xml:space="preserve"> the current federal poverty level.  This is not an accident, but reflects the </w:t>
      </w:r>
      <w:r w:rsidRPr="00054E92">
        <w:rPr>
          <w:rFonts w:eastAsia="Times New Roman" w:cstheme="minorHAnsi"/>
          <w:sz w:val="24"/>
          <w:szCs w:val="24"/>
        </w:rPr>
        <w:t>desire to have the initial count of the poor using the SPM be roughly similar to counts using the current federal poverty measure</w:t>
      </w:r>
      <w:r w:rsidR="00F840EB" w:rsidRPr="00054E92">
        <w:rPr>
          <w:rFonts w:cstheme="minorHAnsi"/>
          <w:sz w:val="24"/>
          <w:szCs w:val="24"/>
        </w:rPr>
        <w:t xml:space="preserve">.  </w:t>
      </w:r>
      <w:r w:rsidRPr="00054E92">
        <w:rPr>
          <w:rFonts w:cstheme="minorHAnsi"/>
          <w:sz w:val="24"/>
          <w:szCs w:val="24"/>
        </w:rPr>
        <w:t>By setting it at this level, analysis would reveal how the changes, such as adding in the value of near cash benefits, or subtracting money spent on health care, change</w:t>
      </w:r>
      <w:r w:rsidR="00A215CD" w:rsidRPr="00054E92">
        <w:rPr>
          <w:rFonts w:cstheme="minorHAnsi"/>
          <w:sz w:val="24"/>
          <w:szCs w:val="24"/>
        </w:rPr>
        <w:t>s</w:t>
      </w:r>
      <w:r w:rsidRPr="00054E92">
        <w:rPr>
          <w:rFonts w:cstheme="minorHAnsi"/>
          <w:sz w:val="24"/>
          <w:szCs w:val="24"/>
        </w:rPr>
        <w:t xml:space="preserve"> </w:t>
      </w:r>
      <w:r w:rsidR="00A215CD" w:rsidRPr="00054E92">
        <w:rPr>
          <w:rFonts w:cstheme="minorHAnsi"/>
          <w:sz w:val="24"/>
          <w:szCs w:val="24"/>
        </w:rPr>
        <w:t>the</w:t>
      </w:r>
      <w:r w:rsidRPr="00054E92">
        <w:rPr>
          <w:rFonts w:cstheme="minorHAnsi"/>
          <w:sz w:val="24"/>
          <w:szCs w:val="24"/>
        </w:rPr>
        <w:t xml:space="preserve"> picture of who is poor</w:t>
      </w:r>
      <w:r w:rsidR="00A215CD" w:rsidRPr="00054E92">
        <w:rPr>
          <w:rFonts w:cstheme="minorHAnsi"/>
          <w:sz w:val="24"/>
          <w:szCs w:val="24"/>
        </w:rPr>
        <w:t>.</w:t>
      </w:r>
      <w:r w:rsidRPr="00054E92">
        <w:rPr>
          <w:rStyle w:val="FootnoteReference"/>
          <w:rFonts w:cstheme="minorHAnsi"/>
          <w:sz w:val="24"/>
          <w:szCs w:val="24"/>
        </w:rPr>
        <w:footnoteReference w:id="1"/>
      </w:r>
      <w:r w:rsidRPr="00054E92">
        <w:rPr>
          <w:rFonts w:cstheme="minorHAnsi"/>
          <w:sz w:val="24"/>
          <w:szCs w:val="24"/>
        </w:rPr>
        <w:t xml:space="preserve">  Setting it at this level also had the advantage of not creating </w:t>
      </w:r>
      <w:r w:rsidR="00A215CD" w:rsidRPr="00054E92">
        <w:rPr>
          <w:rFonts w:cstheme="minorHAnsi"/>
          <w:sz w:val="24"/>
          <w:szCs w:val="24"/>
        </w:rPr>
        <w:t>the</w:t>
      </w:r>
      <w:r w:rsidRPr="00054E92">
        <w:rPr>
          <w:rFonts w:cstheme="minorHAnsi"/>
          <w:sz w:val="24"/>
          <w:szCs w:val="24"/>
        </w:rPr>
        <w:t xml:space="preserve"> difficult political issue of suddenly substantially increasing the number of the poor—something no </w:t>
      </w:r>
      <w:r w:rsidR="00A215CD" w:rsidRPr="00054E92">
        <w:rPr>
          <w:rFonts w:cstheme="minorHAnsi"/>
          <w:sz w:val="24"/>
          <w:szCs w:val="24"/>
        </w:rPr>
        <w:t>administration</w:t>
      </w:r>
      <w:r w:rsidR="00742536" w:rsidRPr="00054E92">
        <w:rPr>
          <w:rFonts w:cstheme="minorHAnsi"/>
          <w:sz w:val="24"/>
          <w:szCs w:val="24"/>
        </w:rPr>
        <w:t xml:space="preserve"> would want to explain</w:t>
      </w:r>
      <w:r w:rsidRPr="00054E92">
        <w:rPr>
          <w:rFonts w:cstheme="minorHAnsi"/>
          <w:sz w:val="24"/>
          <w:szCs w:val="24"/>
        </w:rPr>
        <w:t xml:space="preserve">.  </w:t>
      </w:r>
      <w:r w:rsidR="00F840EB" w:rsidRPr="00054E92">
        <w:rPr>
          <w:rFonts w:cstheme="minorHAnsi"/>
          <w:sz w:val="24"/>
          <w:szCs w:val="24"/>
        </w:rPr>
        <w:t xml:space="preserve">  </w:t>
      </w:r>
    </w:p>
    <w:p w:rsidR="004770D4" w:rsidRPr="00054E92" w:rsidRDefault="0044483A" w:rsidP="00DB6B91">
      <w:pPr>
        <w:ind w:firstLine="720"/>
        <w:rPr>
          <w:rFonts w:eastAsia="Times New Roman" w:cstheme="minorHAnsi"/>
          <w:sz w:val="24"/>
          <w:szCs w:val="24"/>
        </w:rPr>
      </w:pPr>
      <w:r w:rsidRPr="00054E92">
        <w:rPr>
          <w:rFonts w:eastAsia="Times New Roman" w:cstheme="minorHAnsi"/>
          <w:sz w:val="24"/>
          <w:szCs w:val="24"/>
        </w:rPr>
        <w:t>In sum, then, this has left the problem</w:t>
      </w:r>
      <w:r w:rsidR="00182030" w:rsidRPr="00054E92">
        <w:rPr>
          <w:rFonts w:eastAsia="Times New Roman" w:cstheme="minorHAnsi"/>
          <w:sz w:val="24"/>
          <w:szCs w:val="24"/>
        </w:rPr>
        <w:t>s</w:t>
      </w:r>
      <w:r w:rsidRPr="00054E92">
        <w:rPr>
          <w:rFonts w:eastAsia="Times New Roman" w:cstheme="minorHAnsi"/>
          <w:sz w:val="24"/>
          <w:szCs w:val="24"/>
        </w:rPr>
        <w:t xml:space="preserve"> of </w:t>
      </w:r>
      <w:r w:rsidR="00182030" w:rsidRPr="00054E92">
        <w:rPr>
          <w:rFonts w:eastAsia="Times New Roman" w:cstheme="minorHAnsi"/>
          <w:sz w:val="24"/>
          <w:szCs w:val="24"/>
        </w:rPr>
        <w:t>the</w:t>
      </w:r>
      <w:r w:rsidRPr="00054E92">
        <w:rPr>
          <w:rFonts w:eastAsia="Times New Roman" w:cstheme="minorHAnsi"/>
          <w:sz w:val="24"/>
          <w:szCs w:val="24"/>
        </w:rPr>
        <w:t xml:space="preserve"> </w:t>
      </w:r>
      <w:r w:rsidR="00182030" w:rsidRPr="00054E92">
        <w:rPr>
          <w:rFonts w:eastAsia="Times New Roman" w:cstheme="minorHAnsi"/>
          <w:sz w:val="24"/>
          <w:szCs w:val="24"/>
        </w:rPr>
        <w:t xml:space="preserve">FPL </w:t>
      </w:r>
      <w:r w:rsidR="00EE1228" w:rsidRPr="00054E92">
        <w:rPr>
          <w:rFonts w:eastAsia="Times New Roman" w:cstheme="minorHAnsi"/>
          <w:sz w:val="24"/>
          <w:szCs w:val="24"/>
        </w:rPr>
        <w:t>thresholds</w:t>
      </w:r>
      <w:r w:rsidR="00182030" w:rsidRPr="00054E92">
        <w:rPr>
          <w:rFonts w:eastAsia="Times New Roman" w:cstheme="minorHAnsi"/>
          <w:sz w:val="24"/>
          <w:szCs w:val="24"/>
        </w:rPr>
        <w:t xml:space="preserve"> </w:t>
      </w:r>
      <w:r w:rsidRPr="00054E92">
        <w:rPr>
          <w:rFonts w:eastAsia="Times New Roman" w:cstheme="minorHAnsi"/>
          <w:sz w:val="24"/>
          <w:szCs w:val="24"/>
        </w:rPr>
        <w:t>unaddressed by the revision of the SPM</w:t>
      </w:r>
      <w:r w:rsidR="00A729E6" w:rsidRPr="00054E92">
        <w:rPr>
          <w:rFonts w:eastAsia="Times New Roman" w:cstheme="minorHAnsi"/>
          <w:sz w:val="24"/>
          <w:szCs w:val="24"/>
        </w:rPr>
        <w:t xml:space="preserve">. </w:t>
      </w:r>
      <w:r w:rsidR="00365252" w:rsidRPr="00054E92">
        <w:rPr>
          <w:rFonts w:eastAsia="Times New Roman" w:cstheme="minorHAnsi"/>
          <w:sz w:val="24"/>
          <w:szCs w:val="24"/>
        </w:rPr>
        <w:t>Meanwhile, p</w:t>
      </w:r>
      <w:r w:rsidR="008A3259" w:rsidRPr="00054E92">
        <w:rPr>
          <w:rFonts w:eastAsia="Times New Roman" w:cstheme="minorHAnsi"/>
          <w:sz w:val="24"/>
          <w:szCs w:val="24"/>
        </w:rPr>
        <w:t xml:space="preserve">olicy makers and program providers </w:t>
      </w:r>
      <w:r w:rsidR="00365252" w:rsidRPr="00054E92">
        <w:rPr>
          <w:rFonts w:eastAsia="Times New Roman" w:cstheme="minorHAnsi"/>
          <w:sz w:val="24"/>
          <w:szCs w:val="24"/>
        </w:rPr>
        <w:t xml:space="preserve">still </w:t>
      </w:r>
      <w:r w:rsidR="008A3259" w:rsidRPr="00054E92">
        <w:rPr>
          <w:rFonts w:eastAsia="Times New Roman" w:cstheme="minorHAnsi"/>
          <w:sz w:val="24"/>
          <w:szCs w:val="24"/>
        </w:rPr>
        <w:t xml:space="preserve">needed functionally equivalent, but improved (e.g., geographically </w:t>
      </w:r>
      <w:r w:rsidR="00740F95" w:rsidRPr="00054E92">
        <w:rPr>
          <w:rFonts w:eastAsia="Times New Roman" w:cstheme="minorHAnsi"/>
          <w:sz w:val="24"/>
          <w:szCs w:val="24"/>
        </w:rPr>
        <w:t xml:space="preserve">and family composition </w:t>
      </w:r>
      <w:r w:rsidR="008A3259" w:rsidRPr="00054E92">
        <w:rPr>
          <w:rFonts w:eastAsia="Times New Roman" w:cstheme="minorHAnsi"/>
          <w:sz w:val="24"/>
          <w:szCs w:val="24"/>
        </w:rPr>
        <w:t>varied</w:t>
      </w:r>
      <w:r w:rsidR="00365252" w:rsidRPr="00054E92">
        <w:rPr>
          <w:rFonts w:eastAsia="Times New Roman" w:cstheme="minorHAnsi"/>
          <w:sz w:val="24"/>
          <w:szCs w:val="24"/>
        </w:rPr>
        <w:t xml:space="preserve"> as well as higher/more realistic</w:t>
      </w:r>
      <w:r w:rsidR="008A3259" w:rsidRPr="00054E92">
        <w:rPr>
          <w:rFonts w:eastAsia="Times New Roman" w:cstheme="minorHAnsi"/>
          <w:sz w:val="24"/>
          <w:szCs w:val="24"/>
        </w:rPr>
        <w:t xml:space="preserve">), thresholds to replace the outdated and inadequate FPL thresholds. </w:t>
      </w:r>
      <w:r w:rsidR="009607A6" w:rsidRPr="00054E92">
        <w:rPr>
          <w:rFonts w:eastAsia="Times New Roman" w:cstheme="minorHAnsi"/>
          <w:sz w:val="24"/>
          <w:szCs w:val="24"/>
        </w:rPr>
        <w:t xml:space="preserve"> In the remainder of this paper, the problem of</w:t>
      </w:r>
      <w:r w:rsidR="00365252" w:rsidRPr="00054E92">
        <w:rPr>
          <w:rFonts w:eastAsia="Times New Roman" w:cstheme="minorHAnsi"/>
          <w:sz w:val="24"/>
          <w:szCs w:val="24"/>
        </w:rPr>
        <w:t xml:space="preserve"> “</w:t>
      </w:r>
      <w:r w:rsidR="009607A6" w:rsidRPr="00054E92">
        <w:rPr>
          <w:rFonts w:eastAsia="Times New Roman" w:cstheme="minorHAnsi"/>
          <w:sz w:val="24"/>
          <w:szCs w:val="24"/>
        </w:rPr>
        <w:t>too low thresholds</w:t>
      </w:r>
      <w:r w:rsidR="00365252" w:rsidRPr="00054E92">
        <w:rPr>
          <w:rFonts w:eastAsia="Times New Roman" w:cstheme="minorHAnsi"/>
          <w:sz w:val="24"/>
          <w:szCs w:val="24"/>
        </w:rPr>
        <w:t>”</w:t>
      </w:r>
      <w:r w:rsidR="009607A6" w:rsidRPr="00054E92">
        <w:rPr>
          <w:rFonts w:eastAsia="Times New Roman" w:cstheme="minorHAnsi"/>
          <w:sz w:val="24"/>
          <w:szCs w:val="24"/>
        </w:rPr>
        <w:t xml:space="preserve"> will be described, followed by a </w:t>
      </w:r>
      <w:r w:rsidR="00183A54" w:rsidRPr="00054E92">
        <w:rPr>
          <w:rFonts w:eastAsia="Times New Roman" w:cstheme="minorHAnsi"/>
          <w:sz w:val="24"/>
          <w:szCs w:val="24"/>
        </w:rPr>
        <w:t xml:space="preserve">very a brief </w:t>
      </w:r>
      <w:r w:rsidR="009607A6" w:rsidRPr="00054E92">
        <w:rPr>
          <w:rFonts w:eastAsia="Times New Roman" w:cstheme="minorHAnsi"/>
          <w:sz w:val="24"/>
          <w:szCs w:val="24"/>
        </w:rPr>
        <w:t xml:space="preserve">history of various attempts to address this problem, culminating in the development of basic needs budgets, particularly the Self-Sufficiency Standard.  The </w:t>
      </w:r>
      <w:r w:rsidR="001D184C" w:rsidRPr="00054E92">
        <w:rPr>
          <w:rFonts w:eastAsia="Times New Roman" w:cstheme="minorHAnsi"/>
          <w:sz w:val="24"/>
          <w:szCs w:val="24"/>
        </w:rPr>
        <w:t xml:space="preserve">next </w:t>
      </w:r>
      <w:r w:rsidR="009607A6" w:rsidRPr="00054E92">
        <w:rPr>
          <w:rFonts w:eastAsia="Times New Roman" w:cstheme="minorHAnsi"/>
          <w:sz w:val="24"/>
          <w:szCs w:val="24"/>
        </w:rPr>
        <w:t xml:space="preserve">section of the paper will </w:t>
      </w:r>
      <w:r w:rsidR="001D184C" w:rsidRPr="00054E92">
        <w:rPr>
          <w:rFonts w:eastAsia="Times New Roman" w:cstheme="minorHAnsi"/>
          <w:sz w:val="24"/>
          <w:szCs w:val="24"/>
        </w:rPr>
        <w:t>briefly summarize</w:t>
      </w:r>
      <w:r w:rsidR="009607A6" w:rsidRPr="00054E92">
        <w:rPr>
          <w:rFonts w:eastAsia="Times New Roman" w:cstheme="minorHAnsi"/>
          <w:sz w:val="24"/>
          <w:szCs w:val="24"/>
        </w:rPr>
        <w:t xml:space="preserve"> both how the latter has </w:t>
      </w:r>
      <w:r w:rsidR="004770D4" w:rsidRPr="00054E92">
        <w:rPr>
          <w:rFonts w:eastAsia="Times New Roman" w:cstheme="minorHAnsi"/>
          <w:sz w:val="24"/>
          <w:szCs w:val="24"/>
        </w:rPr>
        <w:t xml:space="preserve">become institutionalized in various policy arenas, </w:t>
      </w:r>
      <w:r w:rsidR="00525D40" w:rsidRPr="00054E92">
        <w:rPr>
          <w:rFonts w:eastAsia="Times New Roman" w:cstheme="minorHAnsi"/>
          <w:sz w:val="24"/>
          <w:szCs w:val="24"/>
        </w:rPr>
        <w:t xml:space="preserve">and </w:t>
      </w:r>
      <w:r w:rsidR="004770D4" w:rsidRPr="00054E92">
        <w:rPr>
          <w:rFonts w:eastAsia="Times New Roman" w:cstheme="minorHAnsi"/>
          <w:sz w:val="24"/>
          <w:szCs w:val="24"/>
        </w:rPr>
        <w:t>how it is affecting program implementation</w:t>
      </w:r>
      <w:r w:rsidR="00EE1228" w:rsidRPr="00054E92">
        <w:rPr>
          <w:rFonts w:eastAsia="Times New Roman" w:cstheme="minorHAnsi"/>
          <w:sz w:val="24"/>
          <w:szCs w:val="24"/>
        </w:rPr>
        <w:t>, policy and research</w:t>
      </w:r>
      <w:r w:rsidR="001D184C" w:rsidRPr="00054E92">
        <w:rPr>
          <w:rFonts w:eastAsia="Times New Roman" w:cstheme="minorHAnsi"/>
          <w:sz w:val="24"/>
          <w:szCs w:val="24"/>
        </w:rPr>
        <w:t>. F</w:t>
      </w:r>
      <w:r w:rsidR="004770D4" w:rsidRPr="00054E92">
        <w:rPr>
          <w:rFonts w:eastAsia="Times New Roman" w:cstheme="minorHAnsi"/>
          <w:sz w:val="24"/>
          <w:szCs w:val="24"/>
        </w:rPr>
        <w:t xml:space="preserve">inally, </w:t>
      </w:r>
      <w:r w:rsidR="00EE1228" w:rsidRPr="00054E92">
        <w:rPr>
          <w:rFonts w:eastAsia="Times New Roman" w:cstheme="minorHAnsi"/>
          <w:sz w:val="24"/>
          <w:szCs w:val="24"/>
        </w:rPr>
        <w:t xml:space="preserve">I will describe in more detail </w:t>
      </w:r>
      <w:r w:rsidR="00A10B37" w:rsidRPr="00054E92">
        <w:rPr>
          <w:rFonts w:eastAsia="Times New Roman" w:cstheme="minorHAnsi"/>
          <w:sz w:val="24"/>
          <w:szCs w:val="24"/>
        </w:rPr>
        <w:t xml:space="preserve">how the </w:t>
      </w:r>
      <w:r w:rsidR="00EE1228" w:rsidRPr="00054E92">
        <w:rPr>
          <w:rFonts w:eastAsia="Times New Roman" w:cstheme="minorHAnsi"/>
          <w:sz w:val="24"/>
          <w:szCs w:val="24"/>
        </w:rPr>
        <w:t>implementation of the Standard</w:t>
      </w:r>
      <w:r w:rsidR="00A10B37" w:rsidRPr="00054E92">
        <w:rPr>
          <w:rFonts w:eastAsia="Times New Roman" w:cstheme="minorHAnsi"/>
          <w:sz w:val="24"/>
          <w:szCs w:val="24"/>
        </w:rPr>
        <w:t xml:space="preserve"> </w:t>
      </w:r>
      <w:r w:rsidR="004770D4" w:rsidRPr="00054E92">
        <w:rPr>
          <w:rFonts w:eastAsia="Times New Roman" w:cstheme="minorHAnsi"/>
          <w:sz w:val="24"/>
          <w:szCs w:val="24"/>
        </w:rPr>
        <w:t>as a measure of income sufficiency, is challenging our understan</w:t>
      </w:r>
      <w:r w:rsidR="00A10B37" w:rsidRPr="00054E92">
        <w:rPr>
          <w:rFonts w:eastAsia="Times New Roman" w:cstheme="minorHAnsi"/>
          <w:sz w:val="24"/>
          <w:szCs w:val="24"/>
        </w:rPr>
        <w:t xml:space="preserve">ding of </w:t>
      </w:r>
      <w:r w:rsidR="00740F95" w:rsidRPr="00054E92">
        <w:rPr>
          <w:rFonts w:eastAsia="Times New Roman" w:cstheme="minorHAnsi"/>
          <w:sz w:val="24"/>
          <w:szCs w:val="24"/>
        </w:rPr>
        <w:t xml:space="preserve">the issues of </w:t>
      </w:r>
      <w:r w:rsidR="00A10B37" w:rsidRPr="00054E92">
        <w:rPr>
          <w:rFonts w:eastAsia="Times New Roman" w:cstheme="minorHAnsi"/>
          <w:sz w:val="24"/>
          <w:szCs w:val="24"/>
        </w:rPr>
        <w:t>poverty</w:t>
      </w:r>
      <w:r w:rsidR="00740F95" w:rsidRPr="00054E92">
        <w:rPr>
          <w:rFonts w:eastAsia="Times New Roman" w:cstheme="minorHAnsi"/>
          <w:sz w:val="24"/>
          <w:szCs w:val="24"/>
        </w:rPr>
        <w:t>, income inadequacy</w:t>
      </w:r>
      <w:r w:rsidR="00A10B37" w:rsidRPr="00054E92">
        <w:rPr>
          <w:rFonts w:eastAsia="Times New Roman" w:cstheme="minorHAnsi"/>
          <w:sz w:val="24"/>
          <w:szCs w:val="24"/>
        </w:rPr>
        <w:t xml:space="preserve"> and inequality</w:t>
      </w:r>
      <w:r w:rsidR="004770D4" w:rsidRPr="00054E92">
        <w:rPr>
          <w:rFonts w:eastAsia="Times New Roman" w:cstheme="minorHAnsi"/>
          <w:sz w:val="24"/>
          <w:szCs w:val="24"/>
        </w:rPr>
        <w:t>.</w:t>
      </w:r>
    </w:p>
    <w:p w:rsidR="00DB6B91" w:rsidRDefault="00DB6B91">
      <w:pPr>
        <w:rPr>
          <w:rFonts w:eastAsia="Times New Roman" w:cstheme="minorHAnsi"/>
          <w:b/>
          <w:sz w:val="24"/>
          <w:szCs w:val="24"/>
        </w:rPr>
      </w:pPr>
      <w:r>
        <w:rPr>
          <w:rFonts w:eastAsia="Times New Roman" w:cstheme="minorHAnsi"/>
          <w:b/>
          <w:sz w:val="24"/>
          <w:szCs w:val="24"/>
        </w:rPr>
        <w:br w:type="page"/>
      </w:r>
    </w:p>
    <w:p w:rsidR="00A6702E" w:rsidRPr="00054E92" w:rsidRDefault="00A6702E">
      <w:pPr>
        <w:rPr>
          <w:rFonts w:eastAsia="Times New Roman" w:cstheme="minorHAnsi"/>
          <w:b/>
          <w:sz w:val="24"/>
          <w:szCs w:val="24"/>
        </w:rPr>
      </w:pPr>
      <w:r w:rsidRPr="00054E92">
        <w:rPr>
          <w:rFonts w:eastAsia="Times New Roman" w:cstheme="minorHAnsi"/>
          <w:b/>
          <w:sz w:val="24"/>
          <w:szCs w:val="24"/>
        </w:rPr>
        <w:lastRenderedPageBreak/>
        <w:t xml:space="preserve">The Federal Poverty Measure Threshold:  </w:t>
      </w:r>
      <w:r w:rsidR="006A3BFE" w:rsidRPr="00054E92">
        <w:rPr>
          <w:rFonts w:eastAsia="Times New Roman" w:cstheme="minorHAnsi"/>
          <w:b/>
          <w:sz w:val="24"/>
          <w:szCs w:val="24"/>
        </w:rPr>
        <w:t>The Evolution of Alternatives</w:t>
      </w:r>
    </w:p>
    <w:p w:rsidR="007412C4" w:rsidRPr="00054E92" w:rsidRDefault="00A6702E" w:rsidP="00DB6B91">
      <w:pPr>
        <w:ind w:firstLine="720"/>
        <w:rPr>
          <w:rFonts w:cstheme="minorHAnsi"/>
          <w:sz w:val="24"/>
          <w:szCs w:val="24"/>
        </w:rPr>
      </w:pPr>
      <w:r w:rsidRPr="00054E92">
        <w:rPr>
          <w:rFonts w:eastAsia="Times New Roman" w:cstheme="minorHAnsi"/>
          <w:sz w:val="24"/>
          <w:szCs w:val="24"/>
        </w:rPr>
        <w:t xml:space="preserve">In spite of objections almost from </w:t>
      </w:r>
      <w:r w:rsidR="00525D40" w:rsidRPr="00054E92">
        <w:rPr>
          <w:rFonts w:eastAsia="Times New Roman" w:cstheme="minorHAnsi"/>
          <w:sz w:val="24"/>
          <w:szCs w:val="24"/>
        </w:rPr>
        <w:t>its inception</w:t>
      </w:r>
      <w:r w:rsidRPr="00054E92">
        <w:rPr>
          <w:rFonts w:eastAsia="Times New Roman" w:cstheme="minorHAnsi"/>
          <w:sz w:val="24"/>
          <w:szCs w:val="24"/>
        </w:rPr>
        <w:t xml:space="preserve">, there has been </w:t>
      </w:r>
      <w:r w:rsidR="00B95C8F" w:rsidRPr="00054E92">
        <w:rPr>
          <w:rFonts w:eastAsia="Times New Roman" w:cstheme="minorHAnsi"/>
          <w:sz w:val="24"/>
          <w:szCs w:val="24"/>
        </w:rPr>
        <w:t xml:space="preserve">widespread usage of the </w:t>
      </w:r>
      <w:r w:rsidRPr="00054E92">
        <w:rPr>
          <w:rFonts w:eastAsia="Times New Roman" w:cstheme="minorHAnsi"/>
          <w:sz w:val="24"/>
          <w:szCs w:val="24"/>
        </w:rPr>
        <w:t>federal poverty measure’s</w:t>
      </w:r>
      <w:r w:rsidR="00742536" w:rsidRPr="00054E92">
        <w:rPr>
          <w:rFonts w:eastAsia="Times New Roman" w:cstheme="minorHAnsi"/>
          <w:sz w:val="24"/>
          <w:szCs w:val="24"/>
        </w:rPr>
        <w:t xml:space="preserve"> thresholds</w:t>
      </w:r>
      <w:r w:rsidR="00B95C8F" w:rsidRPr="00054E92">
        <w:rPr>
          <w:rFonts w:eastAsia="Times New Roman" w:cstheme="minorHAnsi"/>
          <w:sz w:val="24"/>
          <w:szCs w:val="24"/>
        </w:rPr>
        <w:t xml:space="preserve"> not only for determining program eligibility, but also for as</w:t>
      </w:r>
      <w:r w:rsidR="00742536" w:rsidRPr="00054E92">
        <w:rPr>
          <w:rFonts w:eastAsia="Times New Roman" w:cstheme="minorHAnsi"/>
          <w:sz w:val="24"/>
          <w:szCs w:val="24"/>
        </w:rPr>
        <w:t>sessing program performance and</w:t>
      </w:r>
      <w:r w:rsidR="009E1416" w:rsidRPr="00054E92">
        <w:rPr>
          <w:rFonts w:eastAsia="Times New Roman" w:cstheme="minorHAnsi"/>
          <w:sz w:val="24"/>
          <w:szCs w:val="24"/>
        </w:rPr>
        <w:t xml:space="preserve"> as well as to allocate program resources</w:t>
      </w:r>
      <w:r w:rsidR="00B95C8F" w:rsidRPr="00054E92">
        <w:rPr>
          <w:rFonts w:eastAsia="Times New Roman" w:cstheme="minorHAnsi"/>
          <w:sz w:val="24"/>
          <w:szCs w:val="24"/>
        </w:rPr>
        <w:t>.</w:t>
      </w:r>
      <w:r w:rsidR="00FE729E" w:rsidRPr="00054E92">
        <w:rPr>
          <w:rFonts w:eastAsia="Times New Roman" w:cstheme="minorHAnsi"/>
          <w:sz w:val="24"/>
          <w:szCs w:val="24"/>
        </w:rPr>
        <w:t xml:space="preserve">  </w:t>
      </w:r>
      <w:r w:rsidR="0040126A" w:rsidRPr="00054E92">
        <w:rPr>
          <w:rFonts w:eastAsia="Times New Roman" w:cstheme="minorHAnsi"/>
          <w:sz w:val="24"/>
          <w:szCs w:val="24"/>
        </w:rPr>
        <w:t>Gabe (2007) cites 82 federal programs that use the FPL to either allocate resources or determine program eligibility and/or benefits</w:t>
      </w:r>
      <w:r w:rsidR="006551F0" w:rsidRPr="00054E92">
        <w:rPr>
          <w:rFonts w:eastAsia="Times New Roman" w:cstheme="minorHAnsi"/>
          <w:sz w:val="24"/>
          <w:szCs w:val="24"/>
        </w:rPr>
        <w:t xml:space="preserve">.  </w:t>
      </w:r>
      <w:r w:rsidR="009E1416" w:rsidRPr="00054E92">
        <w:rPr>
          <w:rFonts w:eastAsia="Times New Roman" w:cstheme="minorHAnsi"/>
          <w:sz w:val="24"/>
          <w:szCs w:val="24"/>
        </w:rPr>
        <w:t xml:space="preserve"> </w:t>
      </w:r>
    </w:p>
    <w:p w:rsidR="00436960" w:rsidRPr="00054E92" w:rsidRDefault="0040126A" w:rsidP="00DB6B91">
      <w:pPr>
        <w:ind w:firstLine="720"/>
        <w:rPr>
          <w:rFonts w:cstheme="minorHAnsi"/>
          <w:sz w:val="24"/>
          <w:szCs w:val="24"/>
        </w:rPr>
      </w:pPr>
      <w:r w:rsidRPr="00054E92">
        <w:rPr>
          <w:rFonts w:cstheme="minorHAnsi"/>
          <w:sz w:val="24"/>
          <w:szCs w:val="24"/>
        </w:rPr>
        <w:t>Early on</w:t>
      </w:r>
      <w:r w:rsidR="00545589" w:rsidRPr="00054E92">
        <w:rPr>
          <w:rFonts w:cstheme="minorHAnsi"/>
          <w:sz w:val="24"/>
          <w:szCs w:val="24"/>
        </w:rPr>
        <w:t xml:space="preserve">, however, it became apparent that the FPL was inadequate as a measure of need.  </w:t>
      </w:r>
      <w:r w:rsidR="004D57CB" w:rsidRPr="00054E92">
        <w:rPr>
          <w:rFonts w:cstheme="minorHAnsi"/>
          <w:sz w:val="24"/>
          <w:szCs w:val="24"/>
        </w:rPr>
        <w:t xml:space="preserve">As a result, </w:t>
      </w:r>
      <w:r w:rsidR="00AA0476" w:rsidRPr="00054E92">
        <w:rPr>
          <w:rFonts w:cstheme="minorHAnsi"/>
          <w:sz w:val="24"/>
          <w:szCs w:val="24"/>
        </w:rPr>
        <w:t>policymakers, program directors, and analysts developed some “work-arounds”.  The most obvious was to use a multiple of the poverty line</w:t>
      </w:r>
      <w:r w:rsidR="008D2EBA" w:rsidRPr="00054E92">
        <w:rPr>
          <w:rFonts w:cstheme="minorHAnsi"/>
          <w:sz w:val="24"/>
          <w:szCs w:val="24"/>
        </w:rPr>
        <w:t>:</w:t>
      </w:r>
    </w:p>
    <w:p w:rsidR="00066DF0" w:rsidRPr="00054E92" w:rsidRDefault="00066DF0" w:rsidP="00066DF0">
      <w:pPr>
        <w:pStyle w:val="ListParagraph"/>
        <w:numPr>
          <w:ilvl w:val="0"/>
          <w:numId w:val="4"/>
        </w:numPr>
        <w:rPr>
          <w:rFonts w:cstheme="minorHAnsi"/>
          <w:sz w:val="24"/>
          <w:szCs w:val="24"/>
        </w:rPr>
      </w:pPr>
      <w:r w:rsidRPr="00054E92">
        <w:rPr>
          <w:rFonts w:cstheme="minorHAnsi"/>
          <w:sz w:val="24"/>
          <w:szCs w:val="24"/>
        </w:rPr>
        <w:t>For eligibility, SNAP uses 130% of the FPL (for gross income), WIC uses 185% of the FPL, Medicaid uses a variety of multiples for different groups, depending on the state.</w:t>
      </w:r>
    </w:p>
    <w:p w:rsidR="00066DF0" w:rsidRPr="00054E92" w:rsidRDefault="00066DF0" w:rsidP="00066DF0">
      <w:pPr>
        <w:pStyle w:val="ListParagraph"/>
        <w:numPr>
          <w:ilvl w:val="0"/>
          <w:numId w:val="4"/>
        </w:numPr>
        <w:rPr>
          <w:rFonts w:cstheme="minorHAnsi"/>
          <w:sz w:val="24"/>
          <w:szCs w:val="24"/>
        </w:rPr>
      </w:pPr>
      <w:r w:rsidRPr="00054E92">
        <w:rPr>
          <w:rFonts w:cstheme="minorHAnsi"/>
          <w:sz w:val="24"/>
          <w:szCs w:val="24"/>
        </w:rPr>
        <w:t xml:space="preserve">To incorporate geographical differences in costs, states use different multiples, e.g., for determining eligibility for child care subsidies, or for CHIP (with the multiples going up to 400% of the FPL).  </w:t>
      </w:r>
      <w:r w:rsidR="00545589" w:rsidRPr="00054E92">
        <w:rPr>
          <w:rFonts w:cstheme="minorHAnsi"/>
          <w:sz w:val="24"/>
          <w:szCs w:val="24"/>
        </w:rPr>
        <w:t>That is, states could determine at what level, in their state, a family had insufficient resources to meet a need, for example, for children’s health care.</w:t>
      </w:r>
    </w:p>
    <w:p w:rsidR="008D2EBA" w:rsidRPr="00054E92" w:rsidRDefault="008D2EBA" w:rsidP="00066DF0">
      <w:pPr>
        <w:pStyle w:val="ListParagraph"/>
        <w:numPr>
          <w:ilvl w:val="0"/>
          <w:numId w:val="4"/>
        </w:numPr>
        <w:rPr>
          <w:rFonts w:cstheme="minorHAnsi"/>
          <w:sz w:val="24"/>
          <w:szCs w:val="24"/>
        </w:rPr>
      </w:pPr>
      <w:r w:rsidRPr="00054E92">
        <w:rPr>
          <w:rFonts w:cstheme="minorHAnsi"/>
          <w:sz w:val="24"/>
          <w:szCs w:val="24"/>
        </w:rPr>
        <w:t xml:space="preserve">For </w:t>
      </w:r>
      <w:r w:rsidR="00742536" w:rsidRPr="00054E92">
        <w:rPr>
          <w:rFonts w:cstheme="minorHAnsi"/>
          <w:sz w:val="24"/>
          <w:szCs w:val="24"/>
        </w:rPr>
        <w:t>the</w:t>
      </w:r>
      <w:r w:rsidRPr="00054E92">
        <w:rPr>
          <w:rFonts w:cstheme="minorHAnsi"/>
          <w:sz w:val="24"/>
          <w:szCs w:val="24"/>
        </w:rPr>
        <w:t xml:space="preserve"> </w:t>
      </w:r>
      <w:r w:rsidR="00975862" w:rsidRPr="00054E92">
        <w:rPr>
          <w:rFonts w:cstheme="minorHAnsi"/>
          <w:sz w:val="24"/>
          <w:szCs w:val="24"/>
        </w:rPr>
        <w:t xml:space="preserve">foundation-funded </w:t>
      </w:r>
      <w:r w:rsidRPr="00054E92">
        <w:rPr>
          <w:rFonts w:cstheme="minorHAnsi"/>
          <w:sz w:val="24"/>
          <w:szCs w:val="24"/>
        </w:rPr>
        <w:t>Working Poor Families Project</w:t>
      </w:r>
      <w:r w:rsidR="00742536" w:rsidRPr="00054E92">
        <w:rPr>
          <w:rFonts w:cstheme="minorHAnsi"/>
          <w:sz w:val="24"/>
          <w:szCs w:val="24"/>
        </w:rPr>
        <w:t xml:space="preserve"> </w:t>
      </w:r>
      <w:r w:rsidR="00742536" w:rsidRPr="00054E92">
        <w:rPr>
          <w:rStyle w:val="FootnoteReference"/>
          <w:rFonts w:cstheme="minorHAnsi"/>
          <w:sz w:val="24"/>
          <w:szCs w:val="24"/>
        </w:rPr>
        <w:footnoteReference w:id="2"/>
      </w:r>
      <w:r w:rsidR="00975862" w:rsidRPr="00054E92">
        <w:rPr>
          <w:rFonts w:cstheme="minorHAnsi"/>
          <w:sz w:val="24"/>
          <w:szCs w:val="24"/>
        </w:rPr>
        <w:t xml:space="preserve"> </w:t>
      </w:r>
      <w:r w:rsidRPr="00054E92">
        <w:rPr>
          <w:rFonts w:cstheme="minorHAnsi"/>
          <w:sz w:val="24"/>
          <w:szCs w:val="24"/>
        </w:rPr>
        <w:t xml:space="preserve">200% of the FPL </w:t>
      </w:r>
      <w:r w:rsidR="00742536" w:rsidRPr="00054E92">
        <w:rPr>
          <w:rFonts w:cstheme="minorHAnsi"/>
          <w:sz w:val="24"/>
          <w:szCs w:val="24"/>
        </w:rPr>
        <w:t>is</w:t>
      </w:r>
      <w:r w:rsidRPr="00054E92">
        <w:rPr>
          <w:rFonts w:cstheme="minorHAnsi"/>
          <w:sz w:val="24"/>
          <w:szCs w:val="24"/>
        </w:rPr>
        <w:t xml:space="preserve"> used.  Other analysts have used similar multiples, labeling the population “low income” or “near poor”, or if limited to those who are in th</w:t>
      </w:r>
      <w:r w:rsidR="00975862" w:rsidRPr="00054E92">
        <w:rPr>
          <w:rFonts w:cstheme="minorHAnsi"/>
          <w:sz w:val="24"/>
          <w:szCs w:val="24"/>
        </w:rPr>
        <w:t>e workforce, the “working poor”</w:t>
      </w:r>
      <w:r w:rsidR="00804C96" w:rsidRPr="00054E92">
        <w:rPr>
          <w:rFonts w:eastAsia="Times New Roman" w:cstheme="minorHAnsi"/>
          <w:sz w:val="24"/>
          <w:szCs w:val="24"/>
        </w:rPr>
        <w:t xml:space="preserve"> (</w:t>
      </w:r>
      <w:r w:rsidR="00975862" w:rsidRPr="00054E92">
        <w:rPr>
          <w:rFonts w:eastAsia="Times New Roman" w:cstheme="minorHAnsi"/>
          <w:sz w:val="24"/>
          <w:szCs w:val="24"/>
        </w:rPr>
        <w:t>Urban Institute, 2005</w:t>
      </w:r>
      <w:r w:rsidR="00804C96" w:rsidRPr="00054E92">
        <w:rPr>
          <w:rFonts w:eastAsia="Times New Roman" w:cstheme="minorHAnsi"/>
          <w:sz w:val="24"/>
          <w:szCs w:val="24"/>
        </w:rPr>
        <w:t xml:space="preserve">).  </w:t>
      </w:r>
    </w:p>
    <w:p w:rsidR="008D2EBA" w:rsidRPr="00054E92" w:rsidRDefault="000515D2" w:rsidP="00DB6B91">
      <w:pPr>
        <w:ind w:firstLine="720"/>
        <w:rPr>
          <w:rFonts w:cstheme="minorHAnsi"/>
          <w:sz w:val="24"/>
          <w:szCs w:val="24"/>
        </w:rPr>
      </w:pPr>
      <w:r w:rsidRPr="00054E92">
        <w:rPr>
          <w:rFonts w:cstheme="minorHAnsi"/>
          <w:sz w:val="24"/>
          <w:szCs w:val="24"/>
        </w:rPr>
        <w:t xml:space="preserve">However, such approaches do not address the other limitations of the FPL, particularly </w:t>
      </w:r>
      <w:r w:rsidR="002040BF" w:rsidRPr="00054E92">
        <w:rPr>
          <w:rFonts w:cstheme="minorHAnsi"/>
          <w:sz w:val="24"/>
          <w:szCs w:val="24"/>
        </w:rPr>
        <w:t xml:space="preserve">the fact that it does not incorporate </w:t>
      </w:r>
      <w:r w:rsidRPr="00054E92">
        <w:rPr>
          <w:rFonts w:cstheme="minorHAnsi"/>
          <w:sz w:val="24"/>
          <w:szCs w:val="24"/>
        </w:rPr>
        <w:t>geographical variation in cost</w:t>
      </w:r>
      <w:r w:rsidR="00A10B37" w:rsidRPr="00054E92">
        <w:rPr>
          <w:rFonts w:cstheme="minorHAnsi"/>
          <w:sz w:val="24"/>
          <w:szCs w:val="24"/>
        </w:rPr>
        <w:t xml:space="preserve">s, </w:t>
      </w:r>
      <w:r w:rsidR="002040BF" w:rsidRPr="00054E92">
        <w:rPr>
          <w:rFonts w:cstheme="minorHAnsi"/>
          <w:sz w:val="24"/>
          <w:szCs w:val="24"/>
        </w:rPr>
        <w:t>or</w:t>
      </w:r>
      <w:r w:rsidR="00A10B37" w:rsidRPr="00054E92">
        <w:rPr>
          <w:rFonts w:cstheme="minorHAnsi"/>
          <w:sz w:val="24"/>
          <w:szCs w:val="24"/>
        </w:rPr>
        <w:t xml:space="preserve"> variation by family type or circumstances.  This is</w:t>
      </w:r>
      <w:r w:rsidRPr="00054E92">
        <w:rPr>
          <w:rFonts w:cstheme="minorHAnsi"/>
          <w:sz w:val="24"/>
          <w:szCs w:val="24"/>
        </w:rPr>
        <w:t xml:space="preserve"> particularly </w:t>
      </w:r>
      <w:r w:rsidR="00A10B37" w:rsidRPr="00054E92">
        <w:rPr>
          <w:rFonts w:cstheme="minorHAnsi"/>
          <w:sz w:val="24"/>
          <w:szCs w:val="24"/>
        </w:rPr>
        <w:t xml:space="preserve">true of the </w:t>
      </w:r>
      <w:r w:rsidRPr="00054E92">
        <w:rPr>
          <w:rFonts w:cstheme="minorHAnsi"/>
          <w:sz w:val="24"/>
          <w:szCs w:val="24"/>
        </w:rPr>
        <w:t>needs for child care and health care</w:t>
      </w:r>
      <w:r w:rsidR="00A10B37" w:rsidRPr="00054E92">
        <w:rPr>
          <w:rFonts w:cstheme="minorHAnsi"/>
          <w:sz w:val="24"/>
          <w:szCs w:val="24"/>
        </w:rPr>
        <w:t xml:space="preserve"> which were</w:t>
      </w:r>
      <w:r w:rsidRPr="00054E92">
        <w:rPr>
          <w:rFonts w:cstheme="minorHAnsi"/>
          <w:sz w:val="24"/>
          <w:szCs w:val="24"/>
        </w:rPr>
        <w:t xml:space="preserve"> not salient 40 plus years ago when Molly Orshansky developed the federal poverty measure</w:t>
      </w:r>
      <w:r w:rsidR="00804C96" w:rsidRPr="00054E92">
        <w:rPr>
          <w:rFonts w:cstheme="minorHAnsi"/>
          <w:sz w:val="24"/>
          <w:szCs w:val="24"/>
        </w:rPr>
        <w:t xml:space="preserve"> </w:t>
      </w:r>
      <w:r w:rsidR="00804C96" w:rsidRPr="00054E92">
        <w:rPr>
          <w:rFonts w:eastAsia="Times New Roman" w:cstheme="minorHAnsi"/>
          <w:sz w:val="24"/>
          <w:szCs w:val="24"/>
        </w:rPr>
        <w:t>(</w:t>
      </w:r>
      <w:r w:rsidR="006F5FAD" w:rsidRPr="00054E92">
        <w:rPr>
          <w:rFonts w:eastAsia="Times New Roman" w:cstheme="minorHAnsi"/>
          <w:sz w:val="24"/>
          <w:szCs w:val="24"/>
        </w:rPr>
        <w:t>Orshansky, 1965; Fisher, 1992</w:t>
      </w:r>
      <w:r w:rsidR="00804C96" w:rsidRPr="00054E92">
        <w:rPr>
          <w:rFonts w:eastAsia="Times New Roman" w:cstheme="minorHAnsi"/>
          <w:sz w:val="24"/>
          <w:szCs w:val="24"/>
        </w:rPr>
        <w:t xml:space="preserve">).  </w:t>
      </w:r>
    </w:p>
    <w:p w:rsidR="000515D2" w:rsidRPr="00054E92" w:rsidRDefault="002040BF" w:rsidP="00DB6B91">
      <w:pPr>
        <w:ind w:firstLine="720"/>
        <w:rPr>
          <w:rFonts w:cstheme="minorHAnsi"/>
          <w:sz w:val="24"/>
          <w:szCs w:val="24"/>
        </w:rPr>
      </w:pPr>
      <w:r w:rsidRPr="00054E92">
        <w:rPr>
          <w:rFonts w:cstheme="minorHAnsi"/>
          <w:sz w:val="24"/>
          <w:szCs w:val="24"/>
        </w:rPr>
        <w:t>In order</w:t>
      </w:r>
      <w:r w:rsidR="00A10B37" w:rsidRPr="00054E92">
        <w:rPr>
          <w:rFonts w:cstheme="minorHAnsi"/>
          <w:sz w:val="24"/>
          <w:szCs w:val="24"/>
        </w:rPr>
        <w:t xml:space="preserve"> to target scarce resources </w:t>
      </w:r>
      <w:r w:rsidR="00700384" w:rsidRPr="00054E92">
        <w:rPr>
          <w:rFonts w:cstheme="minorHAnsi"/>
          <w:sz w:val="24"/>
          <w:szCs w:val="24"/>
        </w:rPr>
        <w:t xml:space="preserve">to </w:t>
      </w:r>
      <w:r w:rsidR="00A10B37" w:rsidRPr="00054E92">
        <w:rPr>
          <w:rFonts w:cstheme="minorHAnsi"/>
          <w:sz w:val="24"/>
          <w:szCs w:val="24"/>
        </w:rPr>
        <w:t>those who needed it most, various programs addressed the</w:t>
      </w:r>
      <w:r w:rsidRPr="00054E92">
        <w:rPr>
          <w:rFonts w:cstheme="minorHAnsi"/>
          <w:sz w:val="24"/>
          <w:szCs w:val="24"/>
        </w:rPr>
        <w:t xml:space="preserve"> issue of designing eligibility </w:t>
      </w:r>
      <w:r w:rsidR="00A10B37" w:rsidRPr="00054E92">
        <w:rPr>
          <w:rFonts w:cstheme="minorHAnsi"/>
          <w:sz w:val="24"/>
          <w:szCs w:val="24"/>
        </w:rPr>
        <w:t>criteria</w:t>
      </w:r>
      <w:r w:rsidRPr="00054E92">
        <w:rPr>
          <w:rFonts w:cstheme="minorHAnsi"/>
          <w:sz w:val="24"/>
          <w:szCs w:val="24"/>
        </w:rPr>
        <w:t xml:space="preserve"> by using other measures of need.  Some examples of these other measures include:</w:t>
      </w:r>
    </w:p>
    <w:p w:rsidR="00927F67" w:rsidRPr="00054E92" w:rsidRDefault="00927F67" w:rsidP="00927F67">
      <w:pPr>
        <w:pStyle w:val="ListParagraph"/>
        <w:numPr>
          <w:ilvl w:val="0"/>
          <w:numId w:val="5"/>
        </w:numPr>
        <w:rPr>
          <w:rFonts w:cstheme="minorHAnsi"/>
          <w:sz w:val="24"/>
          <w:szCs w:val="24"/>
        </w:rPr>
      </w:pPr>
      <w:r w:rsidRPr="00054E92">
        <w:rPr>
          <w:rFonts w:cstheme="minorHAnsi"/>
          <w:sz w:val="24"/>
          <w:szCs w:val="24"/>
        </w:rPr>
        <w:t xml:space="preserve">Federal housing programs used a percentage of area median income – basically a geographically specific relative measure of need, designating 80% of area median </w:t>
      </w:r>
      <w:r w:rsidRPr="00054E92">
        <w:rPr>
          <w:rFonts w:cstheme="minorHAnsi"/>
          <w:sz w:val="24"/>
          <w:szCs w:val="24"/>
        </w:rPr>
        <w:lastRenderedPageBreak/>
        <w:t>income as “low income”, 50% as “very low income”, and 30% as “extremely low income”.</w:t>
      </w:r>
      <w:r w:rsidR="002040BF" w:rsidRPr="00054E92">
        <w:rPr>
          <w:rFonts w:cstheme="minorHAnsi"/>
          <w:sz w:val="24"/>
          <w:szCs w:val="24"/>
        </w:rPr>
        <w:t xml:space="preserve">  </w:t>
      </w:r>
      <w:r w:rsidR="00932F0C" w:rsidRPr="00054E92">
        <w:rPr>
          <w:rStyle w:val="FootnoteReference"/>
          <w:rFonts w:cstheme="minorHAnsi"/>
          <w:sz w:val="24"/>
          <w:szCs w:val="24"/>
        </w:rPr>
        <w:footnoteReference w:id="3"/>
      </w:r>
    </w:p>
    <w:p w:rsidR="00100EC6" w:rsidRPr="00054E92" w:rsidRDefault="00120FA1" w:rsidP="002040BF">
      <w:pPr>
        <w:pStyle w:val="ListParagraph"/>
        <w:numPr>
          <w:ilvl w:val="0"/>
          <w:numId w:val="5"/>
        </w:numPr>
        <w:rPr>
          <w:rFonts w:cstheme="minorHAnsi"/>
          <w:sz w:val="24"/>
          <w:szCs w:val="24"/>
        </w:rPr>
      </w:pPr>
      <w:r w:rsidRPr="00054E92">
        <w:rPr>
          <w:rFonts w:cstheme="minorHAnsi"/>
          <w:sz w:val="24"/>
          <w:szCs w:val="24"/>
        </w:rPr>
        <w:t>Federally funded child care programs may use 85% of state median income as an eligibility threshold.</w:t>
      </w:r>
    </w:p>
    <w:p w:rsidR="00051D34" w:rsidRPr="00054E92" w:rsidRDefault="00100EC6" w:rsidP="00DB6B91">
      <w:pPr>
        <w:ind w:firstLine="720"/>
        <w:rPr>
          <w:rFonts w:cstheme="minorHAnsi"/>
          <w:sz w:val="24"/>
          <w:szCs w:val="24"/>
        </w:rPr>
      </w:pPr>
      <w:r w:rsidRPr="00054E92">
        <w:rPr>
          <w:rFonts w:cstheme="minorHAnsi"/>
          <w:sz w:val="24"/>
          <w:szCs w:val="24"/>
        </w:rPr>
        <w:t xml:space="preserve">While these approaches </w:t>
      </w:r>
      <w:r w:rsidR="005C2176" w:rsidRPr="00054E92">
        <w:rPr>
          <w:rFonts w:cstheme="minorHAnsi"/>
          <w:sz w:val="24"/>
          <w:szCs w:val="24"/>
        </w:rPr>
        <w:t>go</w:t>
      </w:r>
      <w:r w:rsidRPr="00054E92">
        <w:rPr>
          <w:rFonts w:cstheme="minorHAnsi"/>
          <w:sz w:val="24"/>
          <w:szCs w:val="24"/>
        </w:rPr>
        <w:t xml:space="preserve"> a long way towards incorporating geographical variation into this measure of need, </w:t>
      </w:r>
      <w:r w:rsidR="005C2176" w:rsidRPr="00054E92">
        <w:rPr>
          <w:rFonts w:cstheme="minorHAnsi"/>
          <w:sz w:val="24"/>
          <w:szCs w:val="24"/>
        </w:rPr>
        <w:t xml:space="preserve">they </w:t>
      </w:r>
      <w:r w:rsidR="002040BF" w:rsidRPr="00054E92">
        <w:rPr>
          <w:rFonts w:cstheme="minorHAnsi"/>
          <w:sz w:val="24"/>
          <w:szCs w:val="24"/>
        </w:rPr>
        <w:t xml:space="preserve">assume that </w:t>
      </w:r>
      <w:r w:rsidR="000E7121" w:rsidRPr="00054E92">
        <w:rPr>
          <w:rFonts w:cstheme="minorHAnsi"/>
          <w:sz w:val="24"/>
          <w:szCs w:val="24"/>
        </w:rPr>
        <w:t xml:space="preserve">local median income is a good proxy for local costs of living.  </w:t>
      </w:r>
      <w:r w:rsidR="00A215CD" w:rsidRPr="00054E92">
        <w:rPr>
          <w:rFonts w:cstheme="minorHAnsi"/>
          <w:sz w:val="24"/>
          <w:szCs w:val="24"/>
        </w:rPr>
        <w:t xml:space="preserve"> </w:t>
      </w:r>
      <w:r w:rsidR="00A976E5" w:rsidRPr="00054E92">
        <w:rPr>
          <w:rFonts w:cstheme="minorHAnsi"/>
          <w:sz w:val="24"/>
          <w:szCs w:val="24"/>
        </w:rPr>
        <w:t xml:space="preserve">This </w:t>
      </w:r>
      <w:r w:rsidR="00A976E5">
        <w:rPr>
          <w:rFonts w:cstheme="minorHAnsi"/>
          <w:sz w:val="24"/>
          <w:szCs w:val="24"/>
        </w:rPr>
        <w:t xml:space="preserve">is </w:t>
      </w:r>
      <w:r w:rsidR="00A976E5" w:rsidRPr="00054E92">
        <w:rPr>
          <w:rFonts w:cstheme="minorHAnsi"/>
          <w:sz w:val="24"/>
          <w:szCs w:val="24"/>
        </w:rPr>
        <w:t>a questionable assumption, as the literature on housing affordability suggests that there is considerable variation in the proportions of households who have adequate income to afford housing)</w:t>
      </w:r>
      <w:r w:rsidR="00A976E5" w:rsidRPr="00054E92">
        <w:rPr>
          <w:rFonts w:eastAsia="Times New Roman" w:cstheme="minorHAnsi"/>
          <w:sz w:val="24"/>
          <w:szCs w:val="24"/>
        </w:rPr>
        <w:t xml:space="preserve"> (Fisher, et al, 2007).  </w:t>
      </w:r>
      <w:r w:rsidR="00A976E5" w:rsidRPr="00054E92">
        <w:rPr>
          <w:rFonts w:cstheme="minorHAnsi"/>
          <w:sz w:val="24"/>
          <w:szCs w:val="24"/>
        </w:rPr>
        <w:t xml:space="preserve"> </w:t>
      </w:r>
      <w:r w:rsidR="00A215CD" w:rsidRPr="00054E92">
        <w:rPr>
          <w:rFonts w:cstheme="minorHAnsi"/>
          <w:sz w:val="24"/>
          <w:szCs w:val="24"/>
        </w:rPr>
        <w:t>Moreover, as with</w:t>
      </w:r>
      <w:r w:rsidR="00051D34" w:rsidRPr="00054E92">
        <w:rPr>
          <w:rFonts w:cstheme="minorHAnsi"/>
          <w:sz w:val="24"/>
          <w:szCs w:val="24"/>
        </w:rPr>
        <w:t xml:space="preserve"> “relative” poverty measures</w:t>
      </w:r>
      <w:r w:rsidR="00A215CD" w:rsidRPr="00054E92">
        <w:rPr>
          <w:rFonts w:cstheme="minorHAnsi"/>
          <w:sz w:val="24"/>
          <w:szCs w:val="24"/>
        </w:rPr>
        <w:t xml:space="preserve"> that use a percentage of median income (</w:t>
      </w:r>
      <w:r w:rsidR="00371AC9" w:rsidRPr="00054E92">
        <w:rPr>
          <w:rFonts w:cstheme="minorHAnsi"/>
          <w:sz w:val="24"/>
          <w:szCs w:val="24"/>
        </w:rPr>
        <w:t>Couch and Pirog, 2010</w:t>
      </w:r>
      <w:r w:rsidR="00A215CD" w:rsidRPr="00054E92">
        <w:rPr>
          <w:rFonts w:cstheme="minorHAnsi"/>
          <w:sz w:val="24"/>
          <w:szCs w:val="24"/>
        </w:rPr>
        <w:t>)</w:t>
      </w:r>
      <w:r w:rsidR="00051D34" w:rsidRPr="00054E92">
        <w:rPr>
          <w:rFonts w:cstheme="minorHAnsi"/>
          <w:sz w:val="24"/>
          <w:szCs w:val="24"/>
        </w:rPr>
        <w:t>, it has no obvious referent to give it credibility.  That is, the designations of 30%, 50%, and 80% of median income are essentially arbitrary.</w:t>
      </w:r>
      <w:r w:rsidR="000E7121" w:rsidRPr="00054E92">
        <w:rPr>
          <w:rFonts w:cstheme="minorHAnsi"/>
          <w:sz w:val="24"/>
          <w:szCs w:val="24"/>
        </w:rPr>
        <w:t xml:space="preserve">  </w:t>
      </w:r>
      <w:r w:rsidR="005C2176" w:rsidRPr="00054E92">
        <w:rPr>
          <w:rFonts w:cstheme="minorHAnsi"/>
          <w:sz w:val="24"/>
          <w:szCs w:val="24"/>
        </w:rPr>
        <w:t xml:space="preserve"> </w:t>
      </w:r>
      <w:r w:rsidR="00BD681E" w:rsidRPr="00054E92">
        <w:rPr>
          <w:rFonts w:cstheme="minorHAnsi"/>
          <w:sz w:val="24"/>
          <w:szCs w:val="24"/>
        </w:rPr>
        <w:t xml:space="preserve">  </w:t>
      </w:r>
    </w:p>
    <w:p w:rsidR="00F8014D" w:rsidRPr="00054E92" w:rsidRDefault="00100EC6" w:rsidP="00DB6B91">
      <w:pPr>
        <w:ind w:firstLine="720"/>
        <w:rPr>
          <w:rFonts w:cstheme="minorHAnsi"/>
          <w:sz w:val="24"/>
          <w:szCs w:val="24"/>
        </w:rPr>
      </w:pPr>
      <w:r w:rsidRPr="00054E92">
        <w:rPr>
          <w:rFonts w:cstheme="minorHAnsi"/>
          <w:sz w:val="24"/>
          <w:szCs w:val="24"/>
        </w:rPr>
        <w:t xml:space="preserve">Finally, </w:t>
      </w:r>
      <w:r w:rsidR="00804C96" w:rsidRPr="00054E92">
        <w:rPr>
          <w:rFonts w:cstheme="minorHAnsi"/>
          <w:sz w:val="24"/>
          <w:szCs w:val="24"/>
        </w:rPr>
        <w:t>r</w:t>
      </w:r>
      <w:r w:rsidRPr="00054E92">
        <w:rPr>
          <w:rFonts w:cstheme="minorHAnsi"/>
          <w:sz w:val="24"/>
          <w:szCs w:val="24"/>
        </w:rPr>
        <w:t xml:space="preserve">ecently, the </w:t>
      </w:r>
      <w:r w:rsidR="00804C96" w:rsidRPr="00054E92">
        <w:rPr>
          <w:rFonts w:cstheme="minorHAnsi"/>
          <w:sz w:val="24"/>
          <w:szCs w:val="24"/>
        </w:rPr>
        <w:t>SNAP (</w:t>
      </w:r>
      <w:r w:rsidRPr="00054E92">
        <w:rPr>
          <w:rFonts w:cstheme="minorHAnsi"/>
          <w:sz w:val="24"/>
          <w:szCs w:val="24"/>
        </w:rPr>
        <w:t>food stamps</w:t>
      </w:r>
      <w:r w:rsidR="00804C96" w:rsidRPr="00054E92">
        <w:rPr>
          <w:rFonts w:cstheme="minorHAnsi"/>
          <w:sz w:val="24"/>
          <w:szCs w:val="24"/>
        </w:rPr>
        <w:t>)</w:t>
      </w:r>
      <w:r w:rsidRPr="00054E92">
        <w:rPr>
          <w:rFonts w:cstheme="minorHAnsi"/>
          <w:sz w:val="24"/>
          <w:szCs w:val="24"/>
        </w:rPr>
        <w:t xml:space="preserve"> program has allowed states to raise gross income eligibility up to 200% of FPL, with net income determined by deducting costs for child care, housing, work expenses, etc. </w:t>
      </w:r>
      <w:r w:rsidR="00F8014D" w:rsidRPr="00054E92">
        <w:rPr>
          <w:rFonts w:cstheme="minorHAnsi"/>
          <w:sz w:val="24"/>
          <w:szCs w:val="24"/>
        </w:rPr>
        <w:t xml:space="preserve"> (These deductions must bring income down to below 100% of FPL in order to be eligible for benefits).</w:t>
      </w:r>
      <w:r w:rsidRPr="00054E92">
        <w:rPr>
          <w:rFonts w:cstheme="minorHAnsi"/>
          <w:sz w:val="24"/>
          <w:szCs w:val="24"/>
        </w:rPr>
        <w:t xml:space="preserve"> In high cost areas, this makes families</w:t>
      </w:r>
      <w:r w:rsidR="00A8133A" w:rsidRPr="00054E92">
        <w:rPr>
          <w:rFonts w:cstheme="minorHAnsi"/>
          <w:sz w:val="24"/>
          <w:szCs w:val="24"/>
        </w:rPr>
        <w:t xml:space="preserve"> eligible</w:t>
      </w:r>
      <w:r w:rsidRPr="00054E92">
        <w:rPr>
          <w:rFonts w:cstheme="minorHAnsi"/>
          <w:sz w:val="24"/>
          <w:szCs w:val="24"/>
        </w:rPr>
        <w:t xml:space="preserve"> </w:t>
      </w:r>
      <w:r w:rsidR="00F8014D" w:rsidRPr="00054E92">
        <w:rPr>
          <w:rFonts w:cstheme="minorHAnsi"/>
          <w:sz w:val="24"/>
          <w:szCs w:val="24"/>
        </w:rPr>
        <w:t>who</w:t>
      </w:r>
      <w:r w:rsidRPr="00054E92">
        <w:rPr>
          <w:rFonts w:cstheme="minorHAnsi"/>
          <w:sz w:val="24"/>
          <w:szCs w:val="24"/>
        </w:rPr>
        <w:t xml:space="preserve"> would not have qualified under the 130% of FPL rule, thus making eligibility determination more reflective of</w:t>
      </w:r>
      <w:r w:rsidR="00F8014D" w:rsidRPr="00054E92">
        <w:rPr>
          <w:rFonts w:cstheme="minorHAnsi"/>
          <w:sz w:val="24"/>
          <w:szCs w:val="24"/>
        </w:rPr>
        <w:t xml:space="preserve"> both</w:t>
      </w:r>
      <w:r w:rsidRPr="00054E92">
        <w:rPr>
          <w:rFonts w:cstheme="minorHAnsi"/>
          <w:sz w:val="24"/>
          <w:szCs w:val="24"/>
        </w:rPr>
        <w:t xml:space="preserve"> geographical </w:t>
      </w:r>
      <w:r w:rsidR="00F8014D" w:rsidRPr="00054E92">
        <w:rPr>
          <w:rFonts w:cstheme="minorHAnsi"/>
          <w:sz w:val="24"/>
          <w:szCs w:val="24"/>
        </w:rPr>
        <w:t xml:space="preserve">and  individual </w:t>
      </w:r>
      <w:r w:rsidRPr="00054E92">
        <w:rPr>
          <w:rFonts w:cstheme="minorHAnsi"/>
          <w:sz w:val="24"/>
          <w:szCs w:val="24"/>
        </w:rPr>
        <w:t>variation in costs.</w:t>
      </w:r>
      <w:r w:rsidR="00F8014D" w:rsidRPr="00054E92">
        <w:rPr>
          <w:rFonts w:cstheme="minorHAnsi"/>
          <w:sz w:val="24"/>
          <w:szCs w:val="24"/>
        </w:rPr>
        <w:t xml:space="preserve">  While the food stamps approach avoids the assumptions of the area median income approach, it also has limitations (such as capping deductible housing costs at a very low level.)  At the same time, it gets closer than most eligibility standards to </w:t>
      </w:r>
      <w:r w:rsidR="00125931" w:rsidRPr="00054E92">
        <w:rPr>
          <w:rFonts w:cstheme="minorHAnsi"/>
          <w:sz w:val="24"/>
          <w:szCs w:val="24"/>
        </w:rPr>
        <w:t>determining individual household need, taking into account local variations in costs (albeit in a somewhat tortuous multi-step process that only a computer could love.)</w:t>
      </w:r>
    </w:p>
    <w:p w:rsidR="003554CB" w:rsidRPr="00054E92" w:rsidRDefault="00183A54" w:rsidP="00DB6B91">
      <w:pPr>
        <w:ind w:firstLine="720"/>
        <w:rPr>
          <w:rFonts w:cstheme="minorHAnsi"/>
          <w:sz w:val="24"/>
          <w:szCs w:val="24"/>
        </w:rPr>
      </w:pPr>
      <w:r w:rsidRPr="00054E92">
        <w:rPr>
          <w:rFonts w:cstheme="minorHAnsi"/>
          <w:sz w:val="24"/>
          <w:szCs w:val="24"/>
        </w:rPr>
        <w:t>In spite of these “work-</w:t>
      </w:r>
      <w:r w:rsidR="008D4E65" w:rsidRPr="00054E92">
        <w:rPr>
          <w:rFonts w:cstheme="minorHAnsi"/>
          <w:sz w:val="24"/>
          <w:szCs w:val="24"/>
        </w:rPr>
        <w:t>arounds”, the fact that the FPL is both too low and does not reflect geographical variation in costs, nor different family circumstances, made it at best an awkward tool to use</w:t>
      </w:r>
      <w:r w:rsidR="003554CB" w:rsidRPr="00054E92">
        <w:rPr>
          <w:rFonts w:cstheme="minorHAnsi"/>
          <w:sz w:val="24"/>
          <w:szCs w:val="24"/>
        </w:rPr>
        <w:t>, even in multiples, and/or with adjustments as described above</w:t>
      </w:r>
      <w:r w:rsidR="008D4E65" w:rsidRPr="00054E92">
        <w:rPr>
          <w:rFonts w:cstheme="minorHAnsi"/>
          <w:sz w:val="24"/>
          <w:szCs w:val="24"/>
        </w:rPr>
        <w:t>.  This was especially true when trying to use it as a positive tool, for goal and target setting.  Whether working with individual clients, o</w:t>
      </w:r>
      <w:r w:rsidR="00A215CD" w:rsidRPr="00054E92">
        <w:rPr>
          <w:rFonts w:cstheme="minorHAnsi"/>
          <w:sz w:val="24"/>
          <w:szCs w:val="24"/>
        </w:rPr>
        <w:t>r at a group or community level,</w:t>
      </w:r>
      <w:r w:rsidR="008D4E65" w:rsidRPr="00054E92">
        <w:rPr>
          <w:rFonts w:cstheme="minorHAnsi"/>
          <w:sz w:val="24"/>
          <w:szCs w:val="24"/>
        </w:rPr>
        <w:t xml:space="preserve"> there </w:t>
      </w:r>
      <w:r w:rsidR="00A215CD" w:rsidRPr="00054E92">
        <w:rPr>
          <w:rFonts w:cstheme="minorHAnsi"/>
          <w:sz w:val="24"/>
          <w:szCs w:val="24"/>
        </w:rPr>
        <w:t>is</w:t>
      </w:r>
      <w:r w:rsidR="008D4E65" w:rsidRPr="00054E92">
        <w:rPr>
          <w:rFonts w:cstheme="minorHAnsi"/>
          <w:sz w:val="24"/>
          <w:szCs w:val="24"/>
        </w:rPr>
        <w:t xml:space="preserve"> a </w:t>
      </w:r>
      <w:r w:rsidR="00A215CD" w:rsidRPr="00054E92">
        <w:rPr>
          <w:rFonts w:cstheme="minorHAnsi"/>
          <w:sz w:val="24"/>
          <w:szCs w:val="24"/>
        </w:rPr>
        <w:t>“</w:t>
      </w:r>
      <w:r w:rsidR="008D4E65" w:rsidRPr="00054E92">
        <w:rPr>
          <w:rFonts w:cstheme="minorHAnsi"/>
          <w:sz w:val="24"/>
          <w:szCs w:val="24"/>
        </w:rPr>
        <w:t>disconnect</w:t>
      </w:r>
      <w:r w:rsidR="00A215CD" w:rsidRPr="00054E92">
        <w:rPr>
          <w:rFonts w:cstheme="minorHAnsi"/>
          <w:sz w:val="24"/>
          <w:szCs w:val="24"/>
        </w:rPr>
        <w:t>”</w:t>
      </w:r>
      <w:r w:rsidR="008D4E65" w:rsidRPr="00054E92">
        <w:rPr>
          <w:rFonts w:cstheme="minorHAnsi"/>
          <w:sz w:val="24"/>
          <w:szCs w:val="24"/>
        </w:rPr>
        <w:t xml:space="preserve"> between a </w:t>
      </w:r>
      <w:r w:rsidR="00A215CD" w:rsidRPr="00054E92">
        <w:rPr>
          <w:rFonts w:cstheme="minorHAnsi"/>
          <w:sz w:val="24"/>
          <w:szCs w:val="24"/>
        </w:rPr>
        <w:t>goal of “moving out of poverty”</w:t>
      </w:r>
      <w:r w:rsidR="008D4E65" w:rsidRPr="00054E92">
        <w:rPr>
          <w:rFonts w:cstheme="minorHAnsi"/>
          <w:sz w:val="24"/>
          <w:szCs w:val="24"/>
        </w:rPr>
        <w:t xml:space="preserve"> and </w:t>
      </w:r>
      <w:r w:rsidR="0030731C" w:rsidRPr="00054E92">
        <w:rPr>
          <w:rFonts w:cstheme="minorHAnsi"/>
          <w:sz w:val="24"/>
          <w:szCs w:val="24"/>
        </w:rPr>
        <w:t xml:space="preserve">the actual FPL number.  </w:t>
      </w:r>
      <w:r w:rsidR="00A215CD" w:rsidRPr="00054E92">
        <w:rPr>
          <w:rFonts w:cstheme="minorHAnsi"/>
          <w:sz w:val="24"/>
          <w:szCs w:val="24"/>
        </w:rPr>
        <w:t>Both program providers and clients</w:t>
      </w:r>
      <w:r w:rsidR="0030731C" w:rsidRPr="00054E92">
        <w:rPr>
          <w:rFonts w:cstheme="minorHAnsi"/>
          <w:sz w:val="24"/>
          <w:szCs w:val="24"/>
        </w:rPr>
        <w:t xml:space="preserve"> instinctively underst</w:t>
      </w:r>
      <w:r w:rsidR="00A215CD" w:rsidRPr="00054E92">
        <w:rPr>
          <w:rFonts w:cstheme="minorHAnsi"/>
          <w:sz w:val="24"/>
          <w:szCs w:val="24"/>
        </w:rPr>
        <w:t>and</w:t>
      </w:r>
      <w:r w:rsidR="0030731C" w:rsidRPr="00054E92">
        <w:rPr>
          <w:rFonts w:cstheme="minorHAnsi"/>
          <w:sz w:val="24"/>
          <w:szCs w:val="24"/>
        </w:rPr>
        <w:t xml:space="preserve"> that “moving out of poverty” meant a great deal more than </w:t>
      </w:r>
      <w:r w:rsidR="0030731C" w:rsidRPr="00054E92">
        <w:rPr>
          <w:rFonts w:cstheme="minorHAnsi"/>
          <w:sz w:val="24"/>
          <w:szCs w:val="24"/>
        </w:rPr>
        <w:lastRenderedPageBreak/>
        <w:t xml:space="preserve">exceeding the FPL.  </w:t>
      </w:r>
      <w:r w:rsidR="00C900C2" w:rsidRPr="00054E92">
        <w:rPr>
          <w:rFonts w:cstheme="minorHAnsi"/>
          <w:sz w:val="24"/>
          <w:szCs w:val="24"/>
        </w:rPr>
        <w:t>They also understood that there was a great deal of variation between families in communities in what it took to move out of poverty.</w:t>
      </w:r>
    </w:p>
    <w:p w:rsidR="00732939" w:rsidRPr="00054E92" w:rsidRDefault="003554CB" w:rsidP="00DB6B91">
      <w:pPr>
        <w:ind w:firstLine="720"/>
        <w:rPr>
          <w:rFonts w:cstheme="minorHAnsi"/>
          <w:sz w:val="24"/>
          <w:szCs w:val="24"/>
        </w:rPr>
      </w:pPr>
      <w:r w:rsidRPr="00054E92">
        <w:rPr>
          <w:rFonts w:cstheme="minorHAnsi"/>
          <w:sz w:val="24"/>
          <w:szCs w:val="24"/>
        </w:rPr>
        <w:t>To address these issues,</w:t>
      </w:r>
      <w:r w:rsidR="00161EA5" w:rsidRPr="00054E92">
        <w:rPr>
          <w:rFonts w:cstheme="minorHAnsi"/>
          <w:sz w:val="24"/>
          <w:szCs w:val="24"/>
        </w:rPr>
        <w:t xml:space="preserve"> a totally different approach sought to address the limitations of the FPL</w:t>
      </w:r>
      <w:r w:rsidRPr="00054E92">
        <w:rPr>
          <w:rFonts w:cstheme="minorHAnsi"/>
          <w:sz w:val="24"/>
          <w:szCs w:val="24"/>
        </w:rPr>
        <w:t>.  Rather than use mul</w:t>
      </w:r>
      <w:r w:rsidR="00183A54" w:rsidRPr="00054E92">
        <w:rPr>
          <w:rFonts w:cstheme="minorHAnsi"/>
          <w:sz w:val="24"/>
          <w:szCs w:val="24"/>
        </w:rPr>
        <w:t>ti</w:t>
      </w:r>
      <w:r w:rsidRPr="00054E92">
        <w:rPr>
          <w:rFonts w:cstheme="minorHAnsi"/>
          <w:sz w:val="24"/>
          <w:szCs w:val="24"/>
        </w:rPr>
        <w:t>ples</w:t>
      </w:r>
      <w:r w:rsidR="00183A54" w:rsidRPr="00054E92">
        <w:rPr>
          <w:rFonts w:cstheme="minorHAnsi"/>
          <w:sz w:val="24"/>
          <w:szCs w:val="24"/>
        </w:rPr>
        <w:t xml:space="preserve"> of the FPL</w:t>
      </w:r>
      <w:r w:rsidRPr="00054E92">
        <w:rPr>
          <w:rFonts w:cstheme="minorHAnsi"/>
          <w:sz w:val="24"/>
          <w:szCs w:val="24"/>
        </w:rPr>
        <w:t>, these approaches went at the problem from the other direction,</w:t>
      </w:r>
      <w:r w:rsidR="00161EA5" w:rsidRPr="00054E92">
        <w:rPr>
          <w:rFonts w:cstheme="minorHAnsi"/>
          <w:sz w:val="24"/>
          <w:szCs w:val="24"/>
        </w:rPr>
        <w:t xml:space="preserve"> building up t</w:t>
      </w:r>
      <w:r w:rsidR="00732939" w:rsidRPr="00054E92">
        <w:rPr>
          <w:rFonts w:cstheme="minorHAnsi"/>
          <w:sz w:val="24"/>
          <w:szCs w:val="24"/>
        </w:rPr>
        <w:t xml:space="preserve">hresholds “from the ground up”.  </w:t>
      </w:r>
      <w:r w:rsidRPr="00054E92">
        <w:rPr>
          <w:rFonts w:cstheme="minorHAnsi"/>
          <w:sz w:val="24"/>
          <w:szCs w:val="24"/>
        </w:rPr>
        <w:t>Of course, building budgets based on basic needs was not a new approach, indeed there is a long history</w:t>
      </w:r>
      <w:r w:rsidR="007F6FE4" w:rsidRPr="00054E92">
        <w:rPr>
          <w:rFonts w:cstheme="minorHAnsi"/>
          <w:sz w:val="24"/>
          <w:szCs w:val="24"/>
        </w:rPr>
        <w:t xml:space="preserve"> (Johnson, Rogers &amp; Tan, 2001; Renwick and Bergman,1993)</w:t>
      </w:r>
      <w:r w:rsidRPr="00054E92">
        <w:rPr>
          <w:rFonts w:cstheme="minorHAnsi"/>
          <w:sz w:val="24"/>
          <w:szCs w:val="24"/>
        </w:rPr>
        <w:t xml:space="preserve">, but </w:t>
      </w:r>
      <w:r w:rsidR="00CE6A2D" w:rsidRPr="00054E92">
        <w:rPr>
          <w:rFonts w:cstheme="minorHAnsi"/>
          <w:sz w:val="24"/>
          <w:szCs w:val="24"/>
        </w:rPr>
        <w:t>the more recent work took advantage of the availability of data on costs of various need</w:t>
      </w:r>
      <w:r w:rsidR="008B3E89" w:rsidRPr="00054E92">
        <w:rPr>
          <w:rFonts w:cstheme="minorHAnsi"/>
          <w:sz w:val="24"/>
          <w:szCs w:val="24"/>
        </w:rPr>
        <w:t>s that did not exist</w:t>
      </w:r>
      <w:r w:rsidR="00CE6A2D" w:rsidRPr="00054E92">
        <w:rPr>
          <w:rFonts w:cstheme="minorHAnsi"/>
          <w:sz w:val="24"/>
          <w:szCs w:val="24"/>
        </w:rPr>
        <w:t xml:space="preserve"> in earlier decades.  </w:t>
      </w:r>
      <w:r w:rsidR="00732939" w:rsidRPr="00054E92">
        <w:rPr>
          <w:rFonts w:cstheme="minorHAnsi"/>
          <w:sz w:val="24"/>
          <w:szCs w:val="24"/>
        </w:rPr>
        <w:t xml:space="preserve">Several approaches have been tried, including starting with housing costs (using local FMRs), </w:t>
      </w:r>
      <w:r w:rsidR="00161EA5" w:rsidRPr="00054E92">
        <w:rPr>
          <w:rFonts w:cstheme="minorHAnsi"/>
          <w:sz w:val="24"/>
          <w:szCs w:val="24"/>
        </w:rPr>
        <w:t xml:space="preserve">adding to the poverty threshold specific costs, or starting from scratch with “basic needs budgets”. </w:t>
      </w:r>
    </w:p>
    <w:p w:rsidR="00120FA1" w:rsidRPr="00054E92" w:rsidRDefault="0007251E" w:rsidP="00DB6B91">
      <w:pPr>
        <w:ind w:firstLine="720"/>
        <w:rPr>
          <w:rFonts w:cstheme="minorHAnsi"/>
          <w:sz w:val="24"/>
          <w:szCs w:val="24"/>
        </w:rPr>
      </w:pPr>
      <w:r w:rsidRPr="00054E92">
        <w:rPr>
          <w:rFonts w:cstheme="minorHAnsi"/>
          <w:sz w:val="24"/>
          <w:szCs w:val="24"/>
        </w:rPr>
        <w:t>While the FPL was based on food, the “housing wage” was based on housing costs</w:t>
      </w:r>
      <w:r w:rsidR="00183A54" w:rsidRPr="00054E92">
        <w:rPr>
          <w:rFonts w:cstheme="minorHAnsi"/>
          <w:sz w:val="24"/>
          <w:szCs w:val="24"/>
        </w:rPr>
        <w:t xml:space="preserve"> (</w:t>
      </w:r>
      <w:r w:rsidR="00371AC9" w:rsidRPr="00054E92">
        <w:rPr>
          <w:rFonts w:cstheme="minorHAnsi"/>
          <w:sz w:val="24"/>
          <w:szCs w:val="24"/>
        </w:rPr>
        <w:t>DeCrappeo et al, 2010</w:t>
      </w:r>
      <w:r w:rsidR="00183A54" w:rsidRPr="00054E92">
        <w:rPr>
          <w:rFonts w:cstheme="minorHAnsi"/>
          <w:sz w:val="24"/>
          <w:szCs w:val="24"/>
        </w:rPr>
        <w:t>)</w:t>
      </w:r>
      <w:r w:rsidRPr="00054E92">
        <w:rPr>
          <w:rFonts w:cstheme="minorHAnsi"/>
          <w:sz w:val="24"/>
          <w:szCs w:val="24"/>
        </w:rPr>
        <w:t>.  Created</w:t>
      </w:r>
      <w:r w:rsidR="008B3E89" w:rsidRPr="00054E92">
        <w:rPr>
          <w:rFonts w:cstheme="minorHAnsi"/>
          <w:sz w:val="24"/>
          <w:szCs w:val="24"/>
        </w:rPr>
        <w:t xml:space="preserve"> in 1989</w:t>
      </w:r>
      <w:r w:rsidRPr="00054E92">
        <w:rPr>
          <w:rFonts w:cstheme="minorHAnsi"/>
          <w:sz w:val="24"/>
          <w:szCs w:val="24"/>
        </w:rPr>
        <w:t xml:space="preserve"> by </w:t>
      </w:r>
      <w:r w:rsidR="00732939" w:rsidRPr="00054E92">
        <w:rPr>
          <w:rFonts w:cstheme="minorHAnsi"/>
          <w:sz w:val="24"/>
          <w:szCs w:val="24"/>
        </w:rPr>
        <w:t xml:space="preserve">Cushing Dolbeare, </w:t>
      </w:r>
      <w:r w:rsidR="00A215CD" w:rsidRPr="00054E92">
        <w:rPr>
          <w:rFonts w:cstheme="minorHAnsi"/>
          <w:sz w:val="24"/>
          <w:szCs w:val="24"/>
        </w:rPr>
        <w:t>(founder</w:t>
      </w:r>
      <w:r w:rsidRPr="00054E92">
        <w:rPr>
          <w:rFonts w:cstheme="minorHAnsi"/>
          <w:sz w:val="24"/>
          <w:szCs w:val="24"/>
        </w:rPr>
        <w:t xml:space="preserve"> of the National Low Income Housing Coalition), it</w:t>
      </w:r>
      <w:r w:rsidR="00732939" w:rsidRPr="00054E92">
        <w:rPr>
          <w:rFonts w:cstheme="minorHAnsi"/>
          <w:sz w:val="24"/>
          <w:szCs w:val="24"/>
        </w:rPr>
        <w:t xml:space="preserve"> use</w:t>
      </w:r>
      <w:r w:rsidR="00205B5A" w:rsidRPr="00054E92">
        <w:rPr>
          <w:rFonts w:cstheme="minorHAnsi"/>
          <w:sz w:val="24"/>
          <w:szCs w:val="24"/>
        </w:rPr>
        <w:t>s</w:t>
      </w:r>
      <w:r w:rsidR="00732939" w:rsidRPr="00054E92">
        <w:rPr>
          <w:rFonts w:cstheme="minorHAnsi"/>
          <w:sz w:val="24"/>
          <w:szCs w:val="24"/>
        </w:rPr>
        <w:t xml:space="preserve"> the simple formula </w:t>
      </w:r>
      <w:r w:rsidR="00205B5A" w:rsidRPr="00054E92">
        <w:rPr>
          <w:rFonts w:cstheme="minorHAnsi"/>
          <w:sz w:val="24"/>
          <w:szCs w:val="24"/>
        </w:rPr>
        <w:t xml:space="preserve">of assuming that </w:t>
      </w:r>
      <w:r w:rsidRPr="00054E92">
        <w:rPr>
          <w:rFonts w:cstheme="minorHAnsi"/>
          <w:sz w:val="24"/>
          <w:szCs w:val="24"/>
        </w:rPr>
        <w:t xml:space="preserve">housing costs </w:t>
      </w:r>
      <w:r w:rsidR="008B3E89" w:rsidRPr="00054E92">
        <w:rPr>
          <w:rFonts w:cstheme="minorHAnsi"/>
          <w:sz w:val="24"/>
          <w:szCs w:val="24"/>
        </w:rPr>
        <w:t xml:space="preserve">should </w:t>
      </w:r>
      <w:r w:rsidR="00205B5A" w:rsidRPr="00054E92">
        <w:rPr>
          <w:rFonts w:cstheme="minorHAnsi"/>
          <w:sz w:val="24"/>
          <w:szCs w:val="24"/>
        </w:rPr>
        <w:t xml:space="preserve">constitute </w:t>
      </w:r>
      <w:r w:rsidR="008B3E89" w:rsidRPr="00054E92">
        <w:rPr>
          <w:rFonts w:cstheme="minorHAnsi"/>
          <w:sz w:val="24"/>
          <w:szCs w:val="24"/>
        </w:rPr>
        <w:t xml:space="preserve">no more than </w:t>
      </w:r>
      <w:r w:rsidRPr="00054E92">
        <w:rPr>
          <w:rFonts w:cstheme="minorHAnsi"/>
          <w:sz w:val="24"/>
          <w:szCs w:val="24"/>
        </w:rPr>
        <w:t>30% of one’s income</w:t>
      </w:r>
      <w:r w:rsidR="00732939" w:rsidRPr="00054E92">
        <w:rPr>
          <w:rFonts w:cstheme="minorHAnsi"/>
          <w:sz w:val="24"/>
          <w:szCs w:val="24"/>
        </w:rPr>
        <w:t xml:space="preserve">.  </w:t>
      </w:r>
      <w:r w:rsidRPr="00054E92">
        <w:rPr>
          <w:rFonts w:cstheme="minorHAnsi"/>
          <w:sz w:val="24"/>
          <w:szCs w:val="24"/>
        </w:rPr>
        <w:t>A</w:t>
      </w:r>
      <w:r w:rsidR="00205B5A" w:rsidRPr="00054E92">
        <w:rPr>
          <w:rFonts w:cstheme="minorHAnsi"/>
          <w:sz w:val="24"/>
          <w:szCs w:val="24"/>
        </w:rPr>
        <w:t xml:space="preserve">lthough </w:t>
      </w:r>
      <w:r w:rsidR="008B3E89" w:rsidRPr="00054E92">
        <w:rPr>
          <w:rFonts w:cstheme="minorHAnsi"/>
          <w:sz w:val="24"/>
          <w:szCs w:val="24"/>
        </w:rPr>
        <w:t xml:space="preserve">this sounds like the FPL because it is </w:t>
      </w:r>
      <w:r w:rsidR="00205B5A" w:rsidRPr="00054E92">
        <w:rPr>
          <w:rFonts w:cstheme="minorHAnsi"/>
          <w:sz w:val="24"/>
          <w:szCs w:val="24"/>
        </w:rPr>
        <w:t xml:space="preserve">based on a single cost, </w:t>
      </w:r>
      <w:r w:rsidR="000E1633" w:rsidRPr="00054E92">
        <w:rPr>
          <w:rFonts w:cstheme="minorHAnsi"/>
          <w:sz w:val="24"/>
          <w:szCs w:val="24"/>
        </w:rPr>
        <w:t xml:space="preserve">by using U.S. Department of Housing and Urban Development (HUD)’s Fair Market Rents (FMRs), </w:t>
      </w:r>
      <w:r w:rsidR="00205B5A" w:rsidRPr="00054E92">
        <w:rPr>
          <w:rFonts w:cstheme="minorHAnsi"/>
          <w:sz w:val="24"/>
          <w:szCs w:val="24"/>
        </w:rPr>
        <w:t xml:space="preserve">this measure had the substantial advantage of being able to be geographically specific (as well as varied by family size). </w:t>
      </w:r>
      <w:r w:rsidR="000E1633" w:rsidRPr="00054E92">
        <w:rPr>
          <w:rFonts w:cstheme="minorHAnsi"/>
          <w:sz w:val="24"/>
          <w:szCs w:val="24"/>
        </w:rPr>
        <w:t xml:space="preserve"> HUD calculates the cost of a modest housing unit available on the market, usually at the 40</w:t>
      </w:r>
      <w:r w:rsidR="000E1633" w:rsidRPr="00054E92">
        <w:rPr>
          <w:rFonts w:cstheme="minorHAnsi"/>
          <w:sz w:val="24"/>
          <w:szCs w:val="24"/>
          <w:vertAlign w:val="superscript"/>
        </w:rPr>
        <w:t>th</w:t>
      </w:r>
      <w:r w:rsidR="000E1633" w:rsidRPr="00054E92">
        <w:rPr>
          <w:rFonts w:cstheme="minorHAnsi"/>
          <w:sz w:val="24"/>
          <w:szCs w:val="24"/>
        </w:rPr>
        <w:t xml:space="preserve"> percentile</w:t>
      </w:r>
      <w:r w:rsidR="00F63B4B" w:rsidRPr="00054E92">
        <w:rPr>
          <w:rFonts w:cstheme="minorHAnsi"/>
          <w:sz w:val="24"/>
          <w:szCs w:val="24"/>
        </w:rPr>
        <w:t>, for over 400 housing market areas</w:t>
      </w:r>
      <w:r w:rsidR="000E1633" w:rsidRPr="00054E92">
        <w:rPr>
          <w:rFonts w:cstheme="minorHAnsi"/>
          <w:sz w:val="24"/>
          <w:szCs w:val="24"/>
        </w:rPr>
        <w:t>.  T</w:t>
      </w:r>
      <w:r w:rsidR="00205B5A" w:rsidRPr="00054E92">
        <w:rPr>
          <w:rFonts w:cstheme="minorHAnsi"/>
          <w:sz w:val="24"/>
          <w:szCs w:val="24"/>
        </w:rPr>
        <w:t>he</w:t>
      </w:r>
      <w:r w:rsidR="002A17DF" w:rsidRPr="00054E92">
        <w:rPr>
          <w:rFonts w:cstheme="minorHAnsi"/>
          <w:sz w:val="24"/>
          <w:szCs w:val="24"/>
        </w:rPr>
        <w:t xml:space="preserve"> “housing wage”</w:t>
      </w:r>
      <w:r w:rsidR="00B048C0" w:rsidRPr="00054E92">
        <w:rPr>
          <w:rFonts w:cstheme="minorHAnsi"/>
          <w:sz w:val="24"/>
          <w:szCs w:val="24"/>
        </w:rPr>
        <w:t xml:space="preserve"> can be used to determine what percentage of renters are able to afford a modest housing unit (without it exceeding 30% of their income).  Those who cannot afford a housing unit at the FMR level find housing “Out of Reach”, the title of the annu</w:t>
      </w:r>
      <w:r w:rsidR="00F63B4B" w:rsidRPr="00054E92">
        <w:rPr>
          <w:rFonts w:cstheme="minorHAnsi"/>
          <w:sz w:val="24"/>
          <w:szCs w:val="24"/>
        </w:rPr>
        <w:t>al report that uses this metric.</w:t>
      </w:r>
      <w:r w:rsidR="002A17DF" w:rsidRPr="00054E92">
        <w:rPr>
          <w:rFonts w:cstheme="minorHAnsi"/>
          <w:sz w:val="24"/>
          <w:szCs w:val="24"/>
        </w:rPr>
        <w:t xml:space="preserve"> </w:t>
      </w:r>
      <w:r w:rsidR="00205B5A" w:rsidRPr="00054E92">
        <w:rPr>
          <w:rFonts w:cstheme="minorHAnsi"/>
          <w:sz w:val="24"/>
          <w:szCs w:val="24"/>
        </w:rPr>
        <w:t xml:space="preserve"> </w:t>
      </w:r>
      <w:r w:rsidR="002A17DF" w:rsidRPr="00054E92">
        <w:rPr>
          <w:rFonts w:cstheme="minorHAnsi"/>
          <w:sz w:val="24"/>
          <w:szCs w:val="24"/>
        </w:rPr>
        <w:t xml:space="preserve"> </w:t>
      </w:r>
      <w:r w:rsidR="00205B5A" w:rsidRPr="00054E92">
        <w:rPr>
          <w:rFonts w:cstheme="minorHAnsi"/>
          <w:sz w:val="24"/>
          <w:szCs w:val="24"/>
        </w:rPr>
        <w:t xml:space="preserve"> </w:t>
      </w:r>
      <w:r w:rsidR="002A17DF" w:rsidRPr="00054E92">
        <w:rPr>
          <w:rFonts w:cstheme="minorHAnsi"/>
          <w:sz w:val="24"/>
          <w:szCs w:val="24"/>
        </w:rPr>
        <w:t xml:space="preserve"> </w:t>
      </w:r>
      <w:r w:rsidR="00B048C0" w:rsidRPr="00054E92">
        <w:rPr>
          <w:rFonts w:cstheme="minorHAnsi"/>
          <w:sz w:val="24"/>
          <w:szCs w:val="24"/>
        </w:rPr>
        <w:t xml:space="preserve"> </w:t>
      </w:r>
      <w:r w:rsidR="00732939" w:rsidRPr="00054E92">
        <w:rPr>
          <w:rFonts w:cstheme="minorHAnsi"/>
          <w:sz w:val="24"/>
          <w:szCs w:val="24"/>
        </w:rPr>
        <w:t xml:space="preserve"> </w:t>
      </w:r>
      <w:r w:rsidR="00161EA5" w:rsidRPr="00054E92">
        <w:rPr>
          <w:rFonts w:cstheme="minorHAnsi"/>
          <w:sz w:val="24"/>
          <w:szCs w:val="24"/>
        </w:rPr>
        <w:t xml:space="preserve"> </w:t>
      </w:r>
    </w:p>
    <w:p w:rsidR="00161EA5" w:rsidRPr="00054E92" w:rsidRDefault="00161EA5" w:rsidP="00DB6B91">
      <w:pPr>
        <w:ind w:firstLine="720"/>
        <w:rPr>
          <w:rFonts w:cstheme="minorHAnsi"/>
          <w:sz w:val="24"/>
          <w:szCs w:val="24"/>
        </w:rPr>
      </w:pPr>
      <w:r w:rsidRPr="00054E92">
        <w:rPr>
          <w:rFonts w:cstheme="minorHAnsi"/>
          <w:sz w:val="24"/>
          <w:szCs w:val="24"/>
        </w:rPr>
        <w:t xml:space="preserve">Much more common is the development of basic needs budgets. </w:t>
      </w:r>
      <w:r w:rsidR="00C91C3F" w:rsidRPr="00054E92">
        <w:rPr>
          <w:rFonts w:cstheme="minorHAnsi"/>
          <w:sz w:val="24"/>
          <w:szCs w:val="24"/>
        </w:rPr>
        <w:t xml:space="preserve"> </w:t>
      </w:r>
      <w:r w:rsidR="007379CA" w:rsidRPr="00054E92">
        <w:rPr>
          <w:rFonts w:cstheme="minorHAnsi"/>
          <w:sz w:val="24"/>
          <w:szCs w:val="24"/>
        </w:rPr>
        <w:t>Appendix 1 shows</w:t>
      </w:r>
      <w:r w:rsidR="00C91C3F" w:rsidRPr="00054E92">
        <w:rPr>
          <w:rFonts w:cstheme="minorHAnsi"/>
          <w:sz w:val="24"/>
          <w:szCs w:val="24"/>
        </w:rPr>
        <w:t xml:space="preserve"> a sampling of these budgets.  Most are developed by states, such as by their statistical or social welfare departments, or by advocacy organizations.  Although they may differ somewhat in details and methods, they are more similar than different, as was noted by Bernstein in his </w:t>
      </w:r>
      <w:r w:rsidR="008F12F3" w:rsidRPr="00054E92">
        <w:rPr>
          <w:rFonts w:cstheme="minorHAnsi"/>
          <w:sz w:val="24"/>
          <w:szCs w:val="24"/>
        </w:rPr>
        <w:t>survey</w:t>
      </w:r>
      <w:r w:rsidR="00C91C3F" w:rsidRPr="00054E92">
        <w:rPr>
          <w:rFonts w:cstheme="minorHAnsi"/>
          <w:sz w:val="24"/>
          <w:szCs w:val="24"/>
        </w:rPr>
        <w:t xml:space="preserve"> of these </w:t>
      </w:r>
      <w:r w:rsidR="008F12F3" w:rsidRPr="00054E92">
        <w:rPr>
          <w:rFonts w:cstheme="minorHAnsi"/>
          <w:sz w:val="24"/>
          <w:szCs w:val="24"/>
        </w:rPr>
        <w:t xml:space="preserve">basic needs budget </w:t>
      </w:r>
      <w:r w:rsidR="00C91C3F" w:rsidRPr="00054E92">
        <w:rPr>
          <w:rFonts w:cstheme="minorHAnsi"/>
          <w:sz w:val="24"/>
          <w:szCs w:val="24"/>
        </w:rPr>
        <w:t>(based on a conference held in 199</w:t>
      </w:r>
      <w:r w:rsidR="00FE5B20" w:rsidRPr="00054E92">
        <w:rPr>
          <w:rFonts w:cstheme="minorHAnsi"/>
          <w:sz w:val="24"/>
          <w:szCs w:val="24"/>
        </w:rPr>
        <w:t>9</w:t>
      </w:r>
      <w:r w:rsidR="00C91C3F" w:rsidRPr="00054E92">
        <w:rPr>
          <w:rFonts w:cstheme="minorHAnsi"/>
          <w:sz w:val="24"/>
          <w:szCs w:val="24"/>
        </w:rPr>
        <w:t>)</w:t>
      </w:r>
      <w:r w:rsidR="007379CA" w:rsidRPr="00054E92">
        <w:rPr>
          <w:rFonts w:cstheme="minorHAnsi"/>
          <w:sz w:val="24"/>
          <w:szCs w:val="24"/>
        </w:rPr>
        <w:t xml:space="preserve"> (</w:t>
      </w:r>
      <w:r w:rsidR="00FE5B20" w:rsidRPr="00054E92">
        <w:rPr>
          <w:rFonts w:cstheme="minorHAnsi"/>
          <w:sz w:val="24"/>
          <w:szCs w:val="24"/>
        </w:rPr>
        <w:t>Br</w:t>
      </w:r>
      <w:r w:rsidR="00371AC9" w:rsidRPr="00054E92">
        <w:rPr>
          <w:rFonts w:cstheme="minorHAnsi"/>
          <w:sz w:val="24"/>
          <w:szCs w:val="24"/>
        </w:rPr>
        <w:t>o</w:t>
      </w:r>
      <w:r w:rsidR="00FE5B20" w:rsidRPr="00054E92">
        <w:rPr>
          <w:rFonts w:cstheme="minorHAnsi"/>
          <w:sz w:val="24"/>
          <w:szCs w:val="24"/>
        </w:rPr>
        <w:t>cht, Bernstein, and Spade-Aguilar, 2000</w:t>
      </w:r>
      <w:r w:rsidR="007379CA" w:rsidRPr="00054E92">
        <w:rPr>
          <w:rFonts w:cstheme="minorHAnsi"/>
          <w:sz w:val="24"/>
          <w:szCs w:val="24"/>
        </w:rPr>
        <w:t xml:space="preserve">). </w:t>
      </w:r>
      <w:r w:rsidR="00C91C3F" w:rsidRPr="00054E92">
        <w:rPr>
          <w:rFonts w:cstheme="minorHAnsi"/>
          <w:sz w:val="24"/>
          <w:szCs w:val="24"/>
        </w:rPr>
        <w:t xml:space="preserve">  Indeed, B</w:t>
      </w:r>
      <w:r w:rsidR="00727A40" w:rsidRPr="00054E92">
        <w:rPr>
          <w:rFonts w:cstheme="minorHAnsi"/>
          <w:sz w:val="24"/>
          <w:szCs w:val="24"/>
        </w:rPr>
        <w:t xml:space="preserve">ernstein developed a version of these budgets, called the </w:t>
      </w:r>
      <w:r w:rsidR="0054388F" w:rsidRPr="00054E92">
        <w:rPr>
          <w:rFonts w:cstheme="minorHAnsi"/>
          <w:sz w:val="24"/>
          <w:szCs w:val="24"/>
        </w:rPr>
        <w:t>“</w:t>
      </w:r>
      <w:r w:rsidR="00727A40" w:rsidRPr="00054E92">
        <w:rPr>
          <w:rFonts w:cstheme="minorHAnsi"/>
          <w:sz w:val="24"/>
          <w:szCs w:val="24"/>
        </w:rPr>
        <w:t>Basic Family Budgets”, which is still calculated and can be found at the EPI website</w:t>
      </w:r>
      <w:r w:rsidR="008F12F3" w:rsidRPr="00054E92">
        <w:rPr>
          <w:rFonts w:cstheme="minorHAnsi"/>
          <w:sz w:val="24"/>
          <w:szCs w:val="24"/>
        </w:rPr>
        <w:t xml:space="preserve"> (cites)</w:t>
      </w:r>
      <w:r w:rsidR="00727A40" w:rsidRPr="00054E92">
        <w:rPr>
          <w:rFonts w:cstheme="minorHAnsi"/>
          <w:sz w:val="24"/>
          <w:szCs w:val="24"/>
        </w:rPr>
        <w:t>.</w:t>
      </w:r>
    </w:p>
    <w:p w:rsidR="0075344B" w:rsidRPr="00054E92" w:rsidRDefault="00727A40" w:rsidP="00DB6B91">
      <w:pPr>
        <w:ind w:firstLine="720"/>
        <w:rPr>
          <w:rFonts w:cstheme="minorHAnsi"/>
          <w:sz w:val="24"/>
          <w:szCs w:val="24"/>
        </w:rPr>
      </w:pPr>
      <w:r w:rsidRPr="00054E92">
        <w:rPr>
          <w:rFonts w:cstheme="minorHAnsi"/>
          <w:sz w:val="24"/>
          <w:szCs w:val="24"/>
        </w:rPr>
        <w:t xml:space="preserve">However, by far the most extensive and detailed set of family “basic needs” budgets, developed previous to </w:t>
      </w:r>
      <w:r w:rsidR="008F12F3" w:rsidRPr="00054E92">
        <w:rPr>
          <w:rFonts w:cstheme="minorHAnsi"/>
          <w:sz w:val="24"/>
          <w:szCs w:val="24"/>
        </w:rPr>
        <w:t xml:space="preserve">the </w:t>
      </w:r>
      <w:r w:rsidRPr="00054E92">
        <w:rPr>
          <w:rFonts w:cstheme="minorHAnsi"/>
          <w:sz w:val="24"/>
          <w:szCs w:val="24"/>
        </w:rPr>
        <w:t>EPI</w:t>
      </w:r>
      <w:r w:rsidR="008F12F3" w:rsidRPr="00054E92">
        <w:rPr>
          <w:rFonts w:cstheme="minorHAnsi"/>
          <w:sz w:val="24"/>
          <w:szCs w:val="24"/>
        </w:rPr>
        <w:t xml:space="preserve"> budgets</w:t>
      </w:r>
      <w:r w:rsidRPr="00054E92">
        <w:rPr>
          <w:rFonts w:cstheme="minorHAnsi"/>
          <w:sz w:val="24"/>
          <w:szCs w:val="24"/>
        </w:rPr>
        <w:t xml:space="preserve">, is that of the Self-Sufficiency Standard.  </w:t>
      </w:r>
      <w:r w:rsidR="008F12F3" w:rsidRPr="00054E92">
        <w:rPr>
          <w:rFonts w:cstheme="minorHAnsi"/>
          <w:sz w:val="24"/>
          <w:szCs w:val="24"/>
        </w:rPr>
        <w:t>Originally</w:t>
      </w:r>
      <w:r w:rsidRPr="00054E92">
        <w:rPr>
          <w:rFonts w:cstheme="minorHAnsi"/>
          <w:sz w:val="24"/>
          <w:szCs w:val="24"/>
        </w:rPr>
        <w:t xml:space="preserve"> developed </w:t>
      </w:r>
      <w:r w:rsidR="008F12F3" w:rsidRPr="00054E92">
        <w:rPr>
          <w:rFonts w:cstheme="minorHAnsi"/>
          <w:sz w:val="24"/>
          <w:szCs w:val="24"/>
        </w:rPr>
        <w:t>as</w:t>
      </w:r>
      <w:r w:rsidRPr="00054E92">
        <w:rPr>
          <w:rFonts w:cstheme="minorHAnsi"/>
          <w:sz w:val="24"/>
          <w:szCs w:val="24"/>
        </w:rPr>
        <w:t xml:space="preserve"> a </w:t>
      </w:r>
      <w:r w:rsidR="00D23214" w:rsidRPr="00054E92">
        <w:rPr>
          <w:rFonts w:cstheme="minorHAnsi"/>
          <w:sz w:val="24"/>
          <w:szCs w:val="24"/>
        </w:rPr>
        <w:t>program performance measure in federal job training programs</w:t>
      </w:r>
      <w:r w:rsidR="008F12F3" w:rsidRPr="00054E92">
        <w:rPr>
          <w:rStyle w:val="FootnoteReference"/>
          <w:rFonts w:cstheme="minorHAnsi"/>
          <w:sz w:val="24"/>
          <w:szCs w:val="24"/>
        </w:rPr>
        <w:footnoteReference w:id="4"/>
      </w:r>
      <w:r w:rsidR="008F12F3" w:rsidRPr="00054E92">
        <w:rPr>
          <w:rFonts w:cstheme="minorHAnsi"/>
          <w:sz w:val="24"/>
          <w:szCs w:val="24"/>
        </w:rPr>
        <w:t xml:space="preserve">, it was intended to replace </w:t>
      </w:r>
      <w:r w:rsidR="0075344B" w:rsidRPr="00054E92">
        <w:rPr>
          <w:rFonts w:cstheme="minorHAnsi"/>
          <w:sz w:val="24"/>
          <w:szCs w:val="24"/>
        </w:rPr>
        <w:t>the current measure.</w:t>
      </w:r>
      <w:r w:rsidR="00FC5465" w:rsidRPr="00054E92">
        <w:rPr>
          <w:rFonts w:cstheme="minorHAnsi"/>
          <w:sz w:val="24"/>
          <w:szCs w:val="24"/>
        </w:rPr>
        <w:t xml:space="preserve">  </w:t>
      </w:r>
      <w:r w:rsidR="00D23214" w:rsidRPr="00054E92">
        <w:rPr>
          <w:rFonts w:cstheme="minorHAnsi"/>
          <w:sz w:val="24"/>
          <w:szCs w:val="24"/>
        </w:rPr>
        <w:t xml:space="preserve">At the time, local entities were deemed to have met </w:t>
      </w:r>
      <w:r w:rsidR="00D23214" w:rsidRPr="00054E92">
        <w:rPr>
          <w:rFonts w:cstheme="minorHAnsi"/>
          <w:sz w:val="24"/>
          <w:szCs w:val="24"/>
        </w:rPr>
        <w:lastRenderedPageBreak/>
        <w:t xml:space="preserve">their performance measure </w:t>
      </w:r>
      <w:r w:rsidR="00262E9D" w:rsidRPr="00054E92">
        <w:rPr>
          <w:rFonts w:cstheme="minorHAnsi"/>
          <w:sz w:val="24"/>
          <w:szCs w:val="24"/>
        </w:rPr>
        <w:t xml:space="preserve">of “self-sufficiency” </w:t>
      </w:r>
      <w:r w:rsidR="00D23214" w:rsidRPr="00054E92">
        <w:rPr>
          <w:rFonts w:cstheme="minorHAnsi"/>
          <w:sz w:val="24"/>
          <w:szCs w:val="24"/>
        </w:rPr>
        <w:t xml:space="preserve">if the average wage across all clients </w:t>
      </w:r>
      <w:r w:rsidR="00262E9D" w:rsidRPr="00054E92">
        <w:rPr>
          <w:rFonts w:cstheme="minorHAnsi"/>
          <w:sz w:val="24"/>
          <w:szCs w:val="24"/>
        </w:rPr>
        <w:t xml:space="preserve">exceeded a </w:t>
      </w:r>
      <w:r w:rsidR="0075344B" w:rsidRPr="00054E92">
        <w:rPr>
          <w:rFonts w:cstheme="minorHAnsi"/>
          <w:sz w:val="24"/>
          <w:szCs w:val="24"/>
        </w:rPr>
        <w:t xml:space="preserve">single </w:t>
      </w:r>
      <w:r w:rsidR="00262E9D" w:rsidRPr="00054E92">
        <w:rPr>
          <w:rFonts w:cstheme="minorHAnsi"/>
          <w:sz w:val="24"/>
          <w:szCs w:val="24"/>
        </w:rPr>
        <w:t>given level (which was determined by taking into account local labor market wages, unemployment levels, etc.)</w:t>
      </w:r>
      <w:r w:rsidR="004107BA" w:rsidRPr="00054E92">
        <w:rPr>
          <w:rFonts w:cstheme="minorHAnsi"/>
          <w:sz w:val="24"/>
          <w:szCs w:val="24"/>
        </w:rPr>
        <w:t xml:space="preserve">.  </w:t>
      </w:r>
      <w:r w:rsidR="0075344B" w:rsidRPr="00054E92">
        <w:rPr>
          <w:rFonts w:cstheme="minorHAnsi"/>
          <w:sz w:val="24"/>
          <w:szCs w:val="24"/>
        </w:rPr>
        <w:t xml:space="preserve">Of course, such a measure did not take into account the higher level of needs for clients who were supporting families (mostly single mothers) compared to those who were single (often, single men.) </w:t>
      </w:r>
      <w:r w:rsidR="0075344B" w:rsidRPr="00054E92">
        <w:rPr>
          <w:rStyle w:val="FootnoteReference"/>
          <w:rFonts w:cstheme="minorHAnsi"/>
          <w:sz w:val="24"/>
          <w:szCs w:val="24"/>
        </w:rPr>
        <w:footnoteReference w:id="5"/>
      </w:r>
      <w:r w:rsidR="0075344B" w:rsidRPr="00054E92">
        <w:rPr>
          <w:rFonts w:cstheme="minorHAnsi"/>
          <w:sz w:val="24"/>
          <w:szCs w:val="24"/>
        </w:rPr>
        <w:t xml:space="preserve"> This led advocates to ask for the development of a ‘Self-Sufficiency Standard’ that would be </w:t>
      </w:r>
      <w:r w:rsidR="008770D6" w:rsidRPr="00054E92">
        <w:rPr>
          <w:rFonts w:cstheme="minorHAnsi"/>
          <w:sz w:val="24"/>
          <w:szCs w:val="24"/>
        </w:rPr>
        <w:t xml:space="preserve">individualized, not only </w:t>
      </w:r>
      <w:r w:rsidR="0075344B" w:rsidRPr="00054E92">
        <w:rPr>
          <w:rFonts w:cstheme="minorHAnsi"/>
          <w:sz w:val="24"/>
          <w:szCs w:val="24"/>
        </w:rPr>
        <w:t xml:space="preserve">geographically specific, </w:t>
      </w:r>
      <w:r w:rsidR="008770D6" w:rsidRPr="00054E92">
        <w:rPr>
          <w:rFonts w:cstheme="minorHAnsi"/>
          <w:sz w:val="24"/>
          <w:szCs w:val="24"/>
        </w:rPr>
        <w:t xml:space="preserve">but also specific to the needs of specific family types, reflecting where appropriate the age as well as the number of children, and the number of adults, </w:t>
      </w:r>
      <w:r w:rsidR="0075344B" w:rsidRPr="00054E92">
        <w:rPr>
          <w:rFonts w:cstheme="minorHAnsi"/>
          <w:sz w:val="24"/>
          <w:szCs w:val="24"/>
        </w:rPr>
        <w:t xml:space="preserve">and would set out what would be needed to meet a given household’s needs at a minimally adequate level. </w:t>
      </w:r>
    </w:p>
    <w:p w:rsidR="0021326C" w:rsidRPr="00054E92" w:rsidRDefault="00CB052F" w:rsidP="00DB6B91">
      <w:pPr>
        <w:ind w:firstLine="720"/>
        <w:rPr>
          <w:rFonts w:cstheme="minorHAnsi"/>
          <w:sz w:val="24"/>
          <w:szCs w:val="24"/>
        </w:rPr>
      </w:pPr>
      <w:r w:rsidRPr="00054E92">
        <w:rPr>
          <w:rFonts w:cstheme="minorHAnsi"/>
          <w:sz w:val="24"/>
          <w:szCs w:val="24"/>
        </w:rPr>
        <w:t xml:space="preserve">The resulting Standard was thus created in the context of job training programs, and was explicitly intended to calculate what a </w:t>
      </w:r>
      <w:r w:rsidR="008770D6" w:rsidRPr="00054E92">
        <w:rPr>
          <w:rFonts w:cstheme="minorHAnsi"/>
          <w:sz w:val="24"/>
          <w:szCs w:val="24"/>
        </w:rPr>
        <w:t xml:space="preserve">given </w:t>
      </w:r>
      <w:r w:rsidRPr="00054E92">
        <w:rPr>
          <w:rFonts w:cstheme="minorHAnsi"/>
          <w:sz w:val="24"/>
          <w:szCs w:val="24"/>
        </w:rPr>
        <w:t>household required to meet not only the necessities of survival (food, shelter and clothing), but also what was m</w:t>
      </w:r>
      <w:r w:rsidR="00460E47" w:rsidRPr="00054E92">
        <w:rPr>
          <w:rFonts w:cstheme="minorHAnsi"/>
          <w:sz w:val="24"/>
          <w:szCs w:val="24"/>
        </w:rPr>
        <w:t xml:space="preserve">inimally required to be employed, including work expenses (transportation and for those with young children, child care), health care, and taxes (including tax credits).  </w:t>
      </w:r>
      <w:r w:rsidR="002B13C5" w:rsidRPr="00054E92">
        <w:rPr>
          <w:rFonts w:cstheme="minorHAnsi"/>
          <w:sz w:val="24"/>
          <w:szCs w:val="24"/>
        </w:rPr>
        <w:t>Unlike earlier “family budgets”, the amount required for each need is not set arbitrarily or by experts, but whenever possible, at the level determined by government to be minimally adequate.  Thus housing costs are set at the level of Fair Market Rents, i.e., the rent levels for those receiving housing assistance.  Likewise, child care is set at</w:t>
      </w:r>
      <w:r w:rsidR="00A47D50" w:rsidRPr="00054E92">
        <w:rPr>
          <w:rFonts w:cstheme="minorHAnsi"/>
          <w:sz w:val="24"/>
          <w:szCs w:val="24"/>
        </w:rPr>
        <w:t xml:space="preserve"> the level of child care subsidies, which states determine (using surveys of costs) and vary by setting, geography, and child age.  When publically determined level</w:t>
      </w:r>
      <w:r w:rsidR="00D71840" w:rsidRPr="00054E92">
        <w:rPr>
          <w:rFonts w:cstheme="minorHAnsi"/>
          <w:sz w:val="24"/>
          <w:szCs w:val="24"/>
        </w:rPr>
        <w:t>s</w:t>
      </w:r>
      <w:r w:rsidR="00A47D50" w:rsidRPr="00054E92">
        <w:rPr>
          <w:rFonts w:cstheme="minorHAnsi"/>
          <w:sz w:val="24"/>
          <w:szCs w:val="24"/>
        </w:rPr>
        <w:t xml:space="preserve"> of adequacy are not available, then consumer expenditure data is used, as for transportation.  All costs are made as geographically specific as possible, data permitting, </w:t>
      </w:r>
      <w:r w:rsidR="007B382E" w:rsidRPr="00054E92">
        <w:rPr>
          <w:rFonts w:cstheme="minorHAnsi"/>
          <w:sz w:val="24"/>
          <w:szCs w:val="24"/>
        </w:rPr>
        <w:t xml:space="preserve">and where appropriate, age specific.  </w:t>
      </w:r>
      <w:r w:rsidR="009C0E4E" w:rsidRPr="00054E92">
        <w:rPr>
          <w:rFonts w:cstheme="minorHAnsi"/>
          <w:sz w:val="24"/>
          <w:szCs w:val="24"/>
        </w:rPr>
        <w:t xml:space="preserve"> </w:t>
      </w:r>
      <w:r w:rsidR="000731BE" w:rsidRPr="00054E92">
        <w:rPr>
          <w:rFonts w:cstheme="minorHAnsi"/>
          <w:sz w:val="24"/>
          <w:szCs w:val="24"/>
        </w:rPr>
        <w:t xml:space="preserve">Data used is consistent across time and place, allowing for comparisons, although as improved data sources become available, these are incorporated into the methodology.  </w:t>
      </w:r>
      <w:r w:rsidR="00D71840" w:rsidRPr="00054E92">
        <w:rPr>
          <w:rFonts w:cstheme="minorHAnsi"/>
          <w:sz w:val="24"/>
          <w:szCs w:val="24"/>
        </w:rPr>
        <w:t xml:space="preserve">(Details of methodology and data sources can be found in the reports for each state, available at </w:t>
      </w:r>
      <w:hyperlink r:id="rId9" w:history="1">
        <w:r w:rsidR="00D71840" w:rsidRPr="00054E92">
          <w:rPr>
            <w:rStyle w:val="Hyperlink"/>
            <w:rFonts w:cstheme="minorHAnsi"/>
            <w:sz w:val="24"/>
            <w:szCs w:val="24"/>
          </w:rPr>
          <w:t>www.selfsufficiencystandard.org</w:t>
        </w:r>
      </w:hyperlink>
      <w:r w:rsidR="00D71840" w:rsidRPr="00054E92">
        <w:rPr>
          <w:rFonts w:cstheme="minorHAnsi"/>
          <w:sz w:val="24"/>
          <w:szCs w:val="24"/>
        </w:rPr>
        <w:t xml:space="preserve">, </w:t>
      </w:r>
      <w:r w:rsidR="007379CA" w:rsidRPr="00054E92">
        <w:rPr>
          <w:rFonts w:cstheme="minorHAnsi"/>
          <w:sz w:val="24"/>
          <w:szCs w:val="24"/>
        </w:rPr>
        <w:t>summarized in A</w:t>
      </w:r>
      <w:r w:rsidR="000731BE" w:rsidRPr="00054E92">
        <w:rPr>
          <w:rFonts w:cstheme="minorHAnsi"/>
          <w:sz w:val="24"/>
          <w:szCs w:val="24"/>
        </w:rPr>
        <w:t xml:space="preserve">ppendix </w:t>
      </w:r>
      <w:r w:rsidR="007379CA" w:rsidRPr="00054E92">
        <w:rPr>
          <w:rFonts w:cstheme="minorHAnsi"/>
          <w:sz w:val="24"/>
          <w:szCs w:val="24"/>
        </w:rPr>
        <w:t xml:space="preserve">2 </w:t>
      </w:r>
      <w:r w:rsidR="000731BE" w:rsidRPr="00054E92">
        <w:rPr>
          <w:rFonts w:cstheme="minorHAnsi"/>
          <w:sz w:val="24"/>
          <w:szCs w:val="24"/>
        </w:rPr>
        <w:t xml:space="preserve">to this paper.)  </w:t>
      </w:r>
    </w:p>
    <w:p w:rsidR="008770D6" w:rsidRPr="00054E92" w:rsidRDefault="00011670" w:rsidP="00DB6B91">
      <w:pPr>
        <w:ind w:firstLine="720"/>
        <w:rPr>
          <w:rFonts w:cstheme="minorHAnsi"/>
          <w:sz w:val="24"/>
          <w:szCs w:val="24"/>
        </w:rPr>
      </w:pPr>
      <w:r w:rsidRPr="00054E92">
        <w:rPr>
          <w:rFonts w:cstheme="minorHAnsi"/>
          <w:sz w:val="24"/>
          <w:szCs w:val="24"/>
        </w:rPr>
        <w:t xml:space="preserve">The first Standard was calculated for Iowa in 1996, followed by Texas and North Carolina, and then about three or four states per year, funded mostly by the Ford Foundation.  </w:t>
      </w:r>
      <w:r w:rsidR="00CB052F" w:rsidRPr="00054E92">
        <w:rPr>
          <w:rFonts w:cstheme="minorHAnsi"/>
          <w:sz w:val="24"/>
          <w:szCs w:val="24"/>
        </w:rPr>
        <w:t>By the late 1990s</w:t>
      </w:r>
      <w:r w:rsidRPr="00054E92">
        <w:rPr>
          <w:rFonts w:cstheme="minorHAnsi"/>
          <w:sz w:val="24"/>
          <w:szCs w:val="24"/>
        </w:rPr>
        <w:t xml:space="preserve">, a consortium of foundations funding work on the implementation of the 1996 welfare reform </w:t>
      </w:r>
      <w:r w:rsidR="00C32D67" w:rsidRPr="00054E92">
        <w:rPr>
          <w:rFonts w:cstheme="minorHAnsi"/>
          <w:sz w:val="24"/>
          <w:szCs w:val="24"/>
        </w:rPr>
        <w:t xml:space="preserve">realized that </w:t>
      </w:r>
      <w:r w:rsidR="008770D6" w:rsidRPr="00054E92">
        <w:rPr>
          <w:rFonts w:cstheme="minorHAnsi"/>
          <w:sz w:val="24"/>
          <w:szCs w:val="24"/>
        </w:rPr>
        <w:t>with reauthorization in</w:t>
      </w:r>
      <w:r w:rsidR="00C32D67" w:rsidRPr="00054E92">
        <w:rPr>
          <w:rFonts w:cstheme="minorHAnsi"/>
          <w:sz w:val="24"/>
          <w:szCs w:val="24"/>
        </w:rPr>
        <w:t xml:space="preserve"> 2001</w:t>
      </w:r>
      <w:r w:rsidR="008770D6" w:rsidRPr="00054E92">
        <w:rPr>
          <w:rFonts w:cstheme="minorHAnsi"/>
          <w:sz w:val="24"/>
          <w:szCs w:val="24"/>
        </w:rPr>
        <w:t>, there was a need for the</w:t>
      </w:r>
      <w:r w:rsidR="00C32D67" w:rsidRPr="00054E92">
        <w:rPr>
          <w:rFonts w:cstheme="minorHAnsi"/>
          <w:sz w:val="24"/>
          <w:szCs w:val="24"/>
        </w:rPr>
        <w:t xml:space="preserve"> </w:t>
      </w:r>
      <w:r w:rsidR="00C32D67" w:rsidRPr="00054E92">
        <w:rPr>
          <w:rFonts w:cstheme="minorHAnsi"/>
          <w:sz w:val="24"/>
          <w:szCs w:val="24"/>
        </w:rPr>
        <w:lastRenderedPageBreak/>
        <w:t xml:space="preserve">“success” of welfare reform to be gauged against a higher standard than the Federal Poverty level, </w:t>
      </w:r>
      <w:r w:rsidR="000731BE" w:rsidRPr="00054E92">
        <w:rPr>
          <w:rFonts w:cstheme="minorHAnsi"/>
          <w:sz w:val="24"/>
          <w:szCs w:val="24"/>
        </w:rPr>
        <w:t xml:space="preserve">as </w:t>
      </w:r>
      <w:r w:rsidR="008770D6" w:rsidRPr="00054E92">
        <w:rPr>
          <w:rFonts w:cstheme="minorHAnsi"/>
          <w:sz w:val="24"/>
          <w:szCs w:val="24"/>
        </w:rPr>
        <w:t xml:space="preserve">it was understood that by any common understanding, former welfare recipients with earnings at this level were continuing to struggle, unable to meet their basic needs at this level.  Thus Ford Foundation funded the expansion of the Standard to 34 states. </w:t>
      </w:r>
      <w:r w:rsidR="008770D6" w:rsidRPr="00054E92">
        <w:rPr>
          <w:rStyle w:val="FootnoteReference"/>
          <w:rFonts w:cstheme="minorHAnsi"/>
          <w:sz w:val="24"/>
          <w:szCs w:val="24"/>
        </w:rPr>
        <w:footnoteReference w:id="6"/>
      </w:r>
      <w:r w:rsidR="008770D6" w:rsidRPr="00054E92">
        <w:rPr>
          <w:rFonts w:cstheme="minorHAnsi"/>
          <w:sz w:val="24"/>
          <w:szCs w:val="24"/>
        </w:rPr>
        <w:t xml:space="preserve"> </w:t>
      </w:r>
    </w:p>
    <w:p w:rsidR="0069413C" w:rsidRPr="00054E92" w:rsidRDefault="0069413C" w:rsidP="00120FA1">
      <w:pPr>
        <w:rPr>
          <w:rFonts w:cstheme="minorHAnsi"/>
          <w:b/>
          <w:sz w:val="24"/>
          <w:szCs w:val="24"/>
        </w:rPr>
      </w:pPr>
      <w:r w:rsidRPr="00054E92">
        <w:rPr>
          <w:rFonts w:cstheme="minorHAnsi"/>
          <w:b/>
          <w:sz w:val="24"/>
          <w:szCs w:val="24"/>
        </w:rPr>
        <w:t>The Institutionalization of the Standard in Social Welfare/Employment Services Programs</w:t>
      </w:r>
    </w:p>
    <w:p w:rsidR="00F46DA3" w:rsidRPr="00054E92" w:rsidRDefault="00852D8D" w:rsidP="00DB6B91">
      <w:pPr>
        <w:ind w:firstLine="720"/>
        <w:rPr>
          <w:rFonts w:cstheme="minorHAnsi"/>
          <w:sz w:val="24"/>
          <w:szCs w:val="24"/>
        </w:rPr>
      </w:pPr>
      <w:r w:rsidRPr="00054E92">
        <w:rPr>
          <w:rFonts w:cstheme="minorHAnsi"/>
          <w:sz w:val="24"/>
          <w:szCs w:val="24"/>
        </w:rPr>
        <w:t>A</w:t>
      </w:r>
      <w:r w:rsidR="00F9518F" w:rsidRPr="00054E92">
        <w:rPr>
          <w:rFonts w:cstheme="minorHAnsi"/>
          <w:sz w:val="24"/>
          <w:szCs w:val="24"/>
        </w:rPr>
        <w:t>s “welfare reform” has faded as a</w:t>
      </w:r>
      <w:r w:rsidRPr="00054E92">
        <w:rPr>
          <w:rFonts w:cstheme="minorHAnsi"/>
          <w:sz w:val="24"/>
          <w:szCs w:val="24"/>
        </w:rPr>
        <w:t xml:space="preserve">n </w:t>
      </w:r>
      <w:r w:rsidR="00F9518F" w:rsidRPr="00054E92">
        <w:rPr>
          <w:rFonts w:cstheme="minorHAnsi"/>
          <w:sz w:val="24"/>
          <w:szCs w:val="24"/>
        </w:rPr>
        <w:t>issue</w:t>
      </w:r>
      <w:r w:rsidRPr="00054E92">
        <w:rPr>
          <w:rFonts w:cstheme="minorHAnsi"/>
          <w:sz w:val="24"/>
          <w:szCs w:val="24"/>
        </w:rPr>
        <w:t xml:space="preserve"> over the past decade, </w:t>
      </w:r>
      <w:r w:rsidR="00F9518F" w:rsidRPr="00054E92">
        <w:rPr>
          <w:rFonts w:cstheme="minorHAnsi"/>
          <w:sz w:val="24"/>
          <w:szCs w:val="24"/>
        </w:rPr>
        <w:t xml:space="preserve">and </w:t>
      </w:r>
      <w:r w:rsidRPr="00054E92">
        <w:rPr>
          <w:rFonts w:cstheme="minorHAnsi"/>
          <w:sz w:val="24"/>
          <w:szCs w:val="24"/>
        </w:rPr>
        <w:t xml:space="preserve">as cash </w:t>
      </w:r>
      <w:r w:rsidR="00F9518F" w:rsidRPr="00054E92">
        <w:rPr>
          <w:rFonts w:cstheme="minorHAnsi"/>
          <w:sz w:val="24"/>
          <w:szCs w:val="24"/>
        </w:rPr>
        <w:t xml:space="preserve">welfare programs </w:t>
      </w:r>
      <w:r w:rsidRPr="00054E92">
        <w:rPr>
          <w:rFonts w:cstheme="minorHAnsi"/>
          <w:sz w:val="24"/>
          <w:szCs w:val="24"/>
        </w:rPr>
        <w:t xml:space="preserve">(TANF and General Assistance) </w:t>
      </w:r>
      <w:r w:rsidR="00F9518F" w:rsidRPr="00054E92">
        <w:rPr>
          <w:rFonts w:cstheme="minorHAnsi"/>
          <w:sz w:val="24"/>
          <w:szCs w:val="24"/>
        </w:rPr>
        <w:t xml:space="preserve">have become less and less of an effective safety net, </w:t>
      </w:r>
      <w:r w:rsidR="0035667C" w:rsidRPr="00054E92">
        <w:rPr>
          <w:rFonts w:cstheme="minorHAnsi"/>
          <w:sz w:val="24"/>
          <w:szCs w:val="24"/>
        </w:rPr>
        <w:t xml:space="preserve">the front line of poverty reduction efforts </w:t>
      </w:r>
      <w:r w:rsidR="00F9518F" w:rsidRPr="00054E92">
        <w:rPr>
          <w:rFonts w:cstheme="minorHAnsi"/>
          <w:sz w:val="24"/>
          <w:szCs w:val="24"/>
        </w:rPr>
        <w:t xml:space="preserve">has </w:t>
      </w:r>
      <w:r w:rsidR="0035667C" w:rsidRPr="00054E92">
        <w:rPr>
          <w:rFonts w:cstheme="minorHAnsi"/>
          <w:sz w:val="24"/>
          <w:szCs w:val="24"/>
        </w:rPr>
        <w:t xml:space="preserve">of necessity </w:t>
      </w:r>
      <w:r w:rsidR="00F9518F" w:rsidRPr="00054E92">
        <w:rPr>
          <w:rFonts w:cstheme="minorHAnsi"/>
          <w:sz w:val="24"/>
          <w:szCs w:val="24"/>
        </w:rPr>
        <w:t xml:space="preserve">turned to </w:t>
      </w:r>
      <w:r w:rsidRPr="00054E92">
        <w:rPr>
          <w:rFonts w:cstheme="minorHAnsi"/>
          <w:sz w:val="24"/>
          <w:szCs w:val="24"/>
        </w:rPr>
        <w:t xml:space="preserve">employment programs, </w:t>
      </w:r>
      <w:r w:rsidR="008770D6" w:rsidRPr="00054E92">
        <w:rPr>
          <w:rFonts w:cstheme="minorHAnsi"/>
          <w:sz w:val="24"/>
          <w:szCs w:val="24"/>
        </w:rPr>
        <w:t>such as</w:t>
      </w:r>
      <w:r w:rsidRPr="00054E92">
        <w:rPr>
          <w:rFonts w:cstheme="minorHAnsi"/>
          <w:sz w:val="24"/>
          <w:szCs w:val="24"/>
        </w:rPr>
        <w:t xml:space="preserve"> job training</w:t>
      </w:r>
      <w:r w:rsidR="000A4C1D" w:rsidRPr="00054E92">
        <w:rPr>
          <w:rFonts w:cstheme="minorHAnsi"/>
          <w:sz w:val="24"/>
          <w:szCs w:val="24"/>
        </w:rPr>
        <w:t>, unemployment,</w:t>
      </w:r>
      <w:r w:rsidRPr="00054E92">
        <w:rPr>
          <w:rFonts w:cstheme="minorHAnsi"/>
          <w:sz w:val="24"/>
          <w:szCs w:val="24"/>
        </w:rPr>
        <w:t xml:space="preserve"> or “community action</w:t>
      </w:r>
      <w:r w:rsidR="000A4C1D" w:rsidRPr="00054E92">
        <w:rPr>
          <w:rFonts w:cstheme="minorHAnsi"/>
          <w:sz w:val="24"/>
          <w:szCs w:val="24"/>
        </w:rPr>
        <w:t>”/community development agencies.</w:t>
      </w:r>
      <w:r w:rsidRPr="00054E92">
        <w:rPr>
          <w:rFonts w:cstheme="minorHAnsi"/>
          <w:sz w:val="24"/>
          <w:szCs w:val="24"/>
        </w:rPr>
        <w:t xml:space="preserve"> </w:t>
      </w:r>
      <w:r w:rsidR="0035667C" w:rsidRPr="00054E92">
        <w:rPr>
          <w:rFonts w:cstheme="minorHAnsi"/>
          <w:sz w:val="24"/>
          <w:szCs w:val="24"/>
        </w:rPr>
        <w:t xml:space="preserve">The Standard, as a set of thresholds that measure income adequacy </w:t>
      </w:r>
      <w:r w:rsidR="00F05D02" w:rsidRPr="00054E92">
        <w:rPr>
          <w:rFonts w:cstheme="minorHAnsi"/>
          <w:sz w:val="24"/>
          <w:szCs w:val="24"/>
        </w:rPr>
        <w:t xml:space="preserve">has </w:t>
      </w:r>
      <w:r w:rsidR="0035667C" w:rsidRPr="00054E92">
        <w:rPr>
          <w:rFonts w:cstheme="minorHAnsi"/>
          <w:sz w:val="24"/>
          <w:szCs w:val="24"/>
        </w:rPr>
        <w:t xml:space="preserve">become incorporated in the core of work done in </w:t>
      </w:r>
      <w:r w:rsidR="00531233" w:rsidRPr="00054E92">
        <w:rPr>
          <w:rFonts w:cstheme="minorHAnsi"/>
          <w:sz w:val="24"/>
          <w:szCs w:val="24"/>
        </w:rPr>
        <w:t xml:space="preserve">many of </w:t>
      </w:r>
      <w:r w:rsidR="0035667C" w:rsidRPr="00054E92">
        <w:rPr>
          <w:rFonts w:cstheme="minorHAnsi"/>
          <w:sz w:val="24"/>
          <w:szCs w:val="24"/>
        </w:rPr>
        <w:t>these agencies.  One way to summarize these myriad uses is to examine how the Standard’s thresholds are used at three levels.</w:t>
      </w:r>
    </w:p>
    <w:p w:rsidR="00EF6220" w:rsidRPr="00054E92" w:rsidRDefault="00F46DA3" w:rsidP="00DB6B91">
      <w:pPr>
        <w:ind w:left="720"/>
        <w:rPr>
          <w:rFonts w:cstheme="minorHAnsi"/>
          <w:sz w:val="24"/>
          <w:szCs w:val="24"/>
        </w:rPr>
      </w:pPr>
      <w:r w:rsidRPr="00054E92">
        <w:rPr>
          <w:rFonts w:cstheme="minorHAnsi"/>
          <w:sz w:val="24"/>
          <w:szCs w:val="24"/>
        </w:rPr>
        <w:t xml:space="preserve">#1.  At the </w:t>
      </w:r>
      <w:r w:rsidRPr="00054E92">
        <w:rPr>
          <w:rFonts w:cstheme="minorHAnsi"/>
          <w:i/>
          <w:sz w:val="24"/>
          <w:szCs w:val="24"/>
        </w:rPr>
        <w:t>individual level</w:t>
      </w:r>
      <w:r w:rsidRPr="00054E92">
        <w:rPr>
          <w:rFonts w:cstheme="minorHAnsi"/>
          <w:sz w:val="24"/>
          <w:szCs w:val="24"/>
        </w:rPr>
        <w:t xml:space="preserve">, the Standard is used with clients to help set wage goals, which in turn drive choices </w:t>
      </w:r>
      <w:r w:rsidR="00F05D02" w:rsidRPr="00054E92">
        <w:rPr>
          <w:rFonts w:cstheme="minorHAnsi"/>
          <w:sz w:val="24"/>
          <w:szCs w:val="24"/>
        </w:rPr>
        <w:t>of</w:t>
      </w:r>
      <w:r w:rsidRPr="00054E92">
        <w:rPr>
          <w:rFonts w:cstheme="minorHAnsi"/>
          <w:sz w:val="24"/>
          <w:szCs w:val="24"/>
        </w:rPr>
        <w:t xml:space="preserve"> </w:t>
      </w:r>
      <w:r w:rsidR="00F05D02" w:rsidRPr="00054E92">
        <w:rPr>
          <w:rFonts w:cstheme="minorHAnsi"/>
          <w:sz w:val="24"/>
          <w:szCs w:val="24"/>
        </w:rPr>
        <w:t>which</w:t>
      </w:r>
      <w:r w:rsidRPr="00054E92">
        <w:rPr>
          <w:rFonts w:cstheme="minorHAnsi"/>
          <w:sz w:val="24"/>
          <w:szCs w:val="24"/>
        </w:rPr>
        <w:t xml:space="preserve"> occupations/careers to enter</w:t>
      </w:r>
      <w:r w:rsidR="00F05D02" w:rsidRPr="00054E92">
        <w:rPr>
          <w:rFonts w:cstheme="minorHAnsi"/>
          <w:sz w:val="24"/>
          <w:szCs w:val="24"/>
        </w:rPr>
        <w:t xml:space="preserve"> and </w:t>
      </w:r>
      <w:r w:rsidRPr="00054E92">
        <w:rPr>
          <w:rFonts w:cstheme="minorHAnsi"/>
          <w:sz w:val="24"/>
          <w:szCs w:val="24"/>
        </w:rPr>
        <w:t xml:space="preserve">the training/education that is necessary to access the desired wage levels.  In </w:t>
      </w:r>
      <w:r w:rsidR="00375878" w:rsidRPr="00054E92">
        <w:rPr>
          <w:rFonts w:cstheme="minorHAnsi"/>
          <w:sz w:val="24"/>
          <w:szCs w:val="24"/>
        </w:rPr>
        <w:t>some</w:t>
      </w:r>
      <w:r w:rsidRPr="00054E92">
        <w:rPr>
          <w:rFonts w:cstheme="minorHAnsi"/>
          <w:sz w:val="24"/>
          <w:szCs w:val="24"/>
        </w:rPr>
        <w:t xml:space="preserve"> states, this is done with the help of online calculators</w:t>
      </w:r>
      <w:r w:rsidR="006F7BB4" w:rsidRPr="00054E92">
        <w:rPr>
          <w:rFonts w:cstheme="minorHAnsi"/>
          <w:sz w:val="24"/>
          <w:szCs w:val="24"/>
        </w:rPr>
        <w:t>, which are an efficient and effective “one-stop” tool that provides information on the Standard, benefit eligibility,  copays, and links to websites, applications, and other information that connects individuals to resources and benefits</w:t>
      </w:r>
      <w:r w:rsidR="006F7BB4" w:rsidRPr="00054E92">
        <w:rPr>
          <w:rStyle w:val="FootnoteReference"/>
          <w:rFonts w:cstheme="minorHAnsi"/>
          <w:sz w:val="24"/>
          <w:szCs w:val="24"/>
        </w:rPr>
        <w:t xml:space="preserve"> </w:t>
      </w:r>
      <w:r w:rsidR="00375878" w:rsidRPr="00054E92">
        <w:rPr>
          <w:rStyle w:val="FootnoteReference"/>
          <w:rFonts w:cstheme="minorHAnsi"/>
          <w:sz w:val="24"/>
          <w:szCs w:val="24"/>
        </w:rPr>
        <w:footnoteReference w:id="7"/>
      </w:r>
      <w:r w:rsidRPr="00054E92">
        <w:rPr>
          <w:rFonts w:cstheme="minorHAnsi"/>
          <w:sz w:val="24"/>
          <w:szCs w:val="24"/>
        </w:rPr>
        <w:t xml:space="preserve">.  </w:t>
      </w:r>
      <w:r w:rsidR="006F7BB4" w:rsidRPr="00054E92">
        <w:rPr>
          <w:rFonts w:cstheme="minorHAnsi"/>
          <w:sz w:val="24"/>
          <w:szCs w:val="24"/>
        </w:rPr>
        <w:t xml:space="preserve"> T</w:t>
      </w:r>
      <w:r w:rsidR="00F05D02" w:rsidRPr="00054E92">
        <w:rPr>
          <w:rFonts w:cstheme="minorHAnsi"/>
          <w:sz w:val="24"/>
          <w:szCs w:val="24"/>
        </w:rPr>
        <w:t xml:space="preserve">his is </w:t>
      </w:r>
      <w:r w:rsidR="00260AF3" w:rsidRPr="00054E92">
        <w:rPr>
          <w:rFonts w:cstheme="minorHAnsi"/>
          <w:sz w:val="24"/>
          <w:szCs w:val="24"/>
        </w:rPr>
        <w:t>much more effective than the old-fashioned referral</w:t>
      </w:r>
      <w:r w:rsidR="008000E8" w:rsidRPr="00054E92">
        <w:rPr>
          <w:rFonts w:cstheme="minorHAnsi"/>
          <w:sz w:val="24"/>
          <w:szCs w:val="24"/>
        </w:rPr>
        <w:t>s</w:t>
      </w:r>
      <w:r w:rsidR="00260AF3" w:rsidRPr="00054E92">
        <w:rPr>
          <w:rFonts w:cstheme="minorHAnsi"/>
          <w:sz w:val="24"/>
          <w:szCs w:val="24"/>
        </w:rPr>
        <w:t xml:space="preserve"> that often </w:t>
      </w:r>
      <w:r w:rsidR="008000E8" w:rsidRPr="00054E92">
        <w:rPr>
          <w:rFonts w:cstheme="minorHAnsi"/>
          <w:sz w:val="24"/>
          <w:szCs w:val="24"/>
        </w:rPr>
        <w:t xml:space="preserve">involve </w:t>
      </w:r>
      <w:r w:rsidR="00260AF3" w:rsidRPr="00054E92">
        <w:rPr>
          <w:rFonts w:cstheme="minorHAnsi"/>
          <w:sz w:val="24"/>
          <w:szCs w:val="24"/>
        </w:rPr>
        <w:t xml:space="preserve">going to many offices, with different hours, rules, and requirements.  </w:t>
      </w:r>
      <w:r w:rsidR="006F7BB4" w:rsidRPr="00054E92">
        <w:rPr>
          <w:rFonts w:cstheme="minorHAnsi"/>
          <w:sz w:val="24"/>
          <w:szCs w:val="24"/>
        </w:rPr>
        <w:t xml:space="preserve"> </w:t>
      </w:r>
      <w:r w:rsidR="00260AF3" w:rsidRPr="00054E92">
        <w:rPr>
          <w:rFonts w:cstheme="minorHAnsi"/>
          <w:sz w:val="24"/>
          <w:szCs w:val="24"/>
        </w:rPr>
        <w:t xml:space="preserve">  Moreover, </w:t>
      </w:r>
      <w:r w:rsidR="003C319C" w:rsidRPr="00054E92">
        <w:rPr>
          <w:rFonts w:cstheme="minorHAnsi"/>
          <w:sz w:val="24"/>
          <w:szCs w:val="24"/>
        </w:rPr>
        <w:t>online calculators</w:t>
      </w:r>
      <w:r w:rsidR="00260AF3" w:rsidRPr="00054E92">
        <w:rPr>
          <w:rFonts w:cstheme="minorHAnsi"/>
          <w:sz w:val="24"/>
          <w:szCs w:val="24"/>
        </w:rPr>
        <w:t xml:space="preserve"> transform the process:  on the one hand, they </w:t>
      </w:r>
      <w:r w:rsidR="00375878" w:rsidRPr="00054E92">
        <w:rPr>
          <w:rFonts w:cstheme="minorHAnsi"/>
          <w:sz w:val="24"/>
          <w:szCs w:val="24"/>
        </w:rPr>
        <w:t xml:space="preserve">empower clients, </w:t>
      </w:r>
      <w:r w:rsidR="00260AF3" w:rsidRPr="00054E92">
        <w:rPr>
          <w:rFonts w:cstheme="minorHAnsi"/>
          <w:sz w:val="24"/>
          <w:szCs w:val="24"/>
        </w:rPr>
        <w:t>confirm</w:t>
      </w:r>
      <w:r w:rsidR="00375878" w:rsidRPr="00054E92">
        <w:rPr>
          <w:rFonts w:cstheme="minorHAnsi"/>
          <w:sz w:val="24"/>
          <w:szCs w:val="24"/>
        </w:rPr>
        <w:t>ing</w:t>
      </w:r>
      <w:r w:rsidR="00260AF3" w:rsidRPr="00054E92">
        <w:rPr>
          <w:rFonts w:cstheme="minorHAnsi"/>
          <w:sz w:val="24"/>
          <w:szCs w:val="24"/>
        </w:rPr>
        <w:t xml:space="preserve"> what most </w:t>
      </w:r>
      <w:r w:rsidR="00375878" w:rsidRPr="00054E92">
        <w:rPr>
          <w:rFonts w:cstheme="minorHAnsi"/>
          <w:sz w:val="24"/>
          <w:szCs w:val="24"/>
        </w:rPr>
        <w:t>know—</w:t>
      </w:r>
      <w:r w:rsidR="00260AF3" w:rsidRPr="00054E92">
        <w:rPr>
          <w:rFonts w:cstheme="minorHAnsi"/>
          <w:sz w:val="24"/>
          <w:szCs w:val="24"/>
        </w:rPr>
        <w:t xml:space="preserve">that no matter how well they budget, they cannot live on the low wages they either currently earn, or </w:t>
      </w:r>
      <w:r w:rsidR="00375878" w:rsidRPr="00054E92">
        <w:rPr>
          <w:rFonts w:cstheme="minorHAnsi"/>
          <w:sz w:val="24"/>
          <w:szCs w:val="24"/>
        </w:rPr>
        <w:t>are being offered in many jobs—</w:t>
      </w:r>
      <w:r w:rsidR="006F7BB4" w:rsidRPr="00054E92">
        <w:rPr>
          <w:rFonts w:cstheme="minorHAnsi"/>
          <w:sz w:val="24"/>
          <w:szCs w:val="24"/>
        </w:rPr>
        <w:t>and o</w:t>
      </w:r>
      <w:r w:rsidR="00260AF3" w:rsidRPr="00054E92">
        <w:rPr>
          <w:rFonts w:cstheme="minorHAnsi"/>
          <w:sz w:val="24"/>
          <w:szCs w:val="24"/>
        </w:rPr>
        <w:t xml:space="preserve">n the other, it </w:t>
      </w:r>
      <w:r w:rsidR="006F7BB4" w:rsidRPr="00054E92">
        <w:rPr>
          <w:rFonts w:cstheme="minorHAnsi"/>
          <w:sz w:val="24"/>
          <w:szCs w:val="24"/>
        </w:rPr>
        <w:t>empowers</w:t>
      </w:r>
      <w:r w:rsidR="00260AF3" w:rsidRPr="00054E92">
        <w:rPr>
          <w:rFonts w:cstheme="minorHAnsi"/>
          <w:sz w:val="24"/>
          <w:szCs w:val="24"/>
        </w:rPr>
        <w:t xml:space="preserve"> caseworker</w:t>
      </w:r>
      <w:r w:rsidR="006F7BB4" w:rsidRPr="00054E92">
        <w:rPr>
          <w:rFonts w:cstheme="minorHAnsi"/>
          <w:sz w:val="24"/>
          <w:szCs w:val="24"/>
        </w:rPr>
        <w:t>s</w:t>
      </w:r>
      <w:r w:rsidR="00260AF3" w:rsidRPr="00054E92">
        <w:rPr>
          <w:rFonts w:cstheme="minorHAnsi"/>
          <w:sz w:val="24"/>
          <w:szCs w:val="24"/>
        </w:rPr>
        <w:t xml:space="preserve"> with tools t</w:t>
      </w:r>
      <w:r w:rsidR="006F7BB4" w:rsidRPr="00054E92">
        <w:rPr>
          <w:rFonts w:cstheme="minorHAnsi"/>
          <w:sz w:val="24"/>
          <w:szCs w:val="24"/>
        </w:rPr>
        <w:t xml:space="preserve">o more effectively aid clients </w:t>
      </w:r>
      <w:r w:rsidR="003C319C" w:rsidRPr="00054E92">
        <w:rPr>
          <w:rFonts w:cstheme="minorHAnsi"/>
          <w:sz w:val="24"/>
          <w:szCs w:val="24"/>
        </w:rPr>
        <w:t>by harnessing the power of</w:t>
      </w:r>
      <w:r w:rsidR="006F7BB4" w:rsidRPr="00054E92">
        <w:rPr>
          <w:rFonts w:cstheme="minorHAnsi"/>
          <w:sz w:val="24"/>
          <w:szCs w:val="24"/>
        </w:rPr>
        <w:t xml:space="preserve"> the web </w:t>
      </w:r>
      <w:r w:rsidR="003C319C" w:rsidRPr="00054E92">
        <w:rPr>
          <w:rFonts w:cstheme="minorHAnsi"/>
          <w:sz w:val="24"/>
          <w:szCs w:val="24"/>
        </w:rPr>
        <w:t xml:space="preserve">to access </w:t>
      </w:r>
      <w:r w:rsidR="006F7BB4" w:rsidRPr="00054E92">
        <w:rPr>
          <w:rFonts w:cstheme="minorHAnsi"/>
          <w:sz w:val="24"/>
          <w:szCs w:val="24"/>
        </w:rPr>
        <w:t xml:space="preserve">a wider range of resources </w:t>
      </w:r>
      <w:r w:rsidR="003C319C" w:rsidRPr="00054E92">
        <w:rPr>
          <w:rFonts w:cstheme="minorHAnsi"/>
          <w:sz w:val="24"/>
          <w:szCs w:val="24"/>
        </w:rPr>
        <w:t>and information that is individually targeted.</w:t>
      </w:r>
    </w:p>
    <w:p w:rsidR="00593070" w:rsidRPr="00054E92" w:rsidRDefault="00EF6220" w:rsidP="00DB6B91">
      <w:pPr>
        <w:ind w:left="720"/>
        <w:rPr>
          <w:rFonts w:cstheme="minorHAnsi"/>
          <w:sz w:val="24"/>
          <w:szCs w:val="24"/>
        </w:rPr>
      </w:pPr>
      <w:r w:rsidRPr="00054E92">
        <w:rPr>
          <w:rFonts w:cstheme="minorHAnsi"/>
          <w:sz w:val="24"/>
          <w:szCs w:val="24"/>
        </w:rPr>
        <w:t xml:space="preserve">#2.  At the </w:t>
      </w:r>
      <w:r w:rsidRPr="00054E92">
        <w:rPr>
          <w:rFonts w:cstheme="minorHAnsi"/>
          <w:i/>
          <w:sz w:val="24"/>
          <w:szCs w:val="24"/>
        </w:rPr>
        <w:t>agency level</w:t>
      </w:r>
      <w:r w:rsidRPr="00054E92">
        <w:rPr>
          <w:rFonts w:cstheme="minorHAnsi"/>
          <w:sz w:val="24"/>
          <w:szCs w:val="24"/>
        </w:rPr>
        <w:t xml:space="preserve">, the Standard is being used to benchmark client progress, and evaluate the effectiveness of programs.  Using the Standard, agencies can evaluate </w:t>
      </w:r>
      <w:r w:rsidRPr="00054E92">
        <w:rPr>
          <w:rFonts w:cstheme="minorHAnsi"/>
          <w:sz w:val="24"/>
          <w:szCs w:val="24"/>
        </w:rPr>
        <w:lastRenderedPageBreak/>
        <w:t xml:space="preserve">which strategies are working best, and with which groups of clients.  (Online calculators can </w:t>
      </w:r>
      <w:r w:rsidR="00593070" w:rsidRPr="00054E92">
        <w:rPr>
          <w:rFonts w:cstheme="minorHAnsi"/>
          <w:sz w:val="24"/>
          <w:szCs w:val="24"/>
        </w:rPr>
        <w:t>be used to track client progress</w:t>
      </w:r>
      <w:r w:rsidR="000D0E2F" w:rsidRPr="00054E92">
        <w:rPr>
          <w:rFonts w:cstheme="minorHAnsi"/>
          <w:sz w:val="24"/>
          <w:szCs w:val="24"/>
        </w:rPr>
        <w:t xml:space="preserve">. While </w:t>
      </w:r>
      <w:r w:rsidR="00593070" w:rsidRPr="00054E92">
        <w:rPr>
          <w:rFonts w:cstheme="minorHAnsi"/>
          <w:sz w:val="24"/>
          <w:szCs w:val="24"/>
        </w:rPr>
        <w:t xml:space="preserve">maintaining </w:t>
      </w:r>
      <w:r w:rsidR="000D0E2F" w:rsidRPr="00054E92">
        <w:rPr>
          <w:rFonts w:cstheme="minorHAnsi"/>
          <w:sz w:val="24"/>
          <w:szCs w:val="24"/>
        </w:rPr>
        <w:t xml:space="preserve">client </w:t>
      </w:r>
      <w:r w:rsidR="00593070" w:rsidRPr="00054E92">
        <w:rPr>
          <w:rFonts w:cstheme="minorHAnsi"/>
          <w:sz w:val="24"/>
          <w:szCs w:val="24"/>
        </w:rPr>
        <w:t xml:space="preserve">confidentiality, </w:t>
      </w:r>
      <w:r w:rsidR="000D0E2F" w:rsidRPr="00054E92">
        <w:rPr>
          <w:rFonts w:cstheme="minorHAnsi"/>
          <w:sz w:val="24"/>
          <w:szCs w:val="24"/>
        </w:rPr>
        <w:t>the</w:t>
      </w:r>
      <w:r w:rsidR="00593070" w:rsidRPr="00054E92">
        <w:rPr>
          <w:rFonts w:cstheme="minorHAnsi"/>
          <w:sz w:val="24"/>
          <w:szCs w:val="24"/>
        </w:rPr>
        <w:t xml:space="preserve"> </w:t>
      </w:r>
      <w:r w:rsidR="000D0E2F" w:rsidRPr="00054E92">
        <w:rPr>
          <w:rFonts w:cstheme="minorHAnsi"/>
          <w:sz w:val="24"/>
          <w:szCs w:val="24"/>
        </w:rPr>
        <w:t xml:space="preserve">collection of </w:t>
      </w:r>
      <w:r w:rsidR="00593070" w:rsidRPr="00054E92">
        <w:rPr>
          <w:rFonts w:cstheme="minorHAnsi"/>
          <w:sz w:val="24"/>
          <w:szCs w:val="24"/>
        </w:rPr>
        <w:t xml:space="preserve">demographic data, </w:t>
      </w:r>
      <w:r w:rsidR="000D0E2F" w:rsidRPr="00054E92">
        <w:rPr>
          <w:rFonts w:cstheme="minorHAnsi"/>
          <w:sz w:val="24"/>
          <w:szCs w:val="24"/>
        </w:rPr>
        <w:t xml:space="preserve">enables </w:t>
      </w:r>
      <w:r w:rsidR="00593070" w:rsidRPr="00054E92">
        <w:rPr>
          <w:rFonts w:cstheme="minorHAnsi"/>
          <w:sz w:val="24"/>
          <w:szCs w:val="24"/>
        </w:rPr>
        <w:t>agencies to determine which caseworkers and/or which client groups are making the best progress.</w:t>
      </w:r>
      <w:r w:rsidR="008000E8" w:rsidRPr="00054E92">
        <w:rPr>
          <w:rFonts w:cstheme="minorHAnsi"/>
          <w:sz w:val="24"/>
          <w:szCs w:val="24"/>
        </w:rPr>
        <w:t>)</w:t>
      </w:r>
      <w:r w:rsidR="00593070" w:rsidRPr="00054E92">
        <w:rPr>
          <w:rFonts w:cstheme="minorHAnsi"/>
          <w:sz w:val="24"/>
          <w:szCs w:val="24"/>
        </w:rPr>
        <w:t xml:space="preserve"> </w:t>
      </w:r>
    </w:p>
    <w:p w:rsidR="00790548" w:rsidRPr="00054E92" w:rsidRDefault="00DB6B91" w:rsidP="00DB6B91">
      <w:pPr>
        <w:ind w:left="720"/>
        <w:rPr>
          <w:rFonts w:cstheme="minorHAnsi"/>
          <w:sz w:val="24"/>
          <w:szCs w:val="24"/>
        </w:rPr>
      </w:pPr>
      <w:r>
        <w:rPr>
          <w:rFonts w:cstheme="minorHAnsi"/>
          <w:sz w:val="24"/>
          <w:szCs w:val="24"/>
        </w:rPr>
        <w:t>#</w:t>
      </w:r>
      <w:r w:rsidR="00593070" w:rsidRPr="00054E92">
        <w:rPr>
          <w:rFonts w:cstheme="minorHAnsi"/>
          <w:sz w:val="24"/>
          <w:szCs w:val="24"/>
        </w:rPr>
        <w:t xml:space="preserve">3.  At the </w:t>
      </w:r>
      <w:r w:rsidR="00593070" w:rsidRPr="00054E92">
        <w:rPr>
          <w:rFonts w:cstheme="minorHAnsi"/>
          <w:i/>
          <w:sz w:val="24"/>
          <w:szCs w:val="24"/>
        </w:rPr>
        <w:t>policy level</w:t>
      </w:r>
      <w:r w:rsidR="00593070" w:rsidRPr="00054E92">
        <w:rPr>
          <w:rFonts w:cstheme="minorHAnsi"/>
          <w:sz w:val="24"/>
          <w:szCs w:val="24"/>
        </w:rPr>
        <w:t xml:space="preserve">, the Standard </w:t>
      </w:r>
      <w:r w:rsidR="00531233" w:rsidRPr="00054E92">
        <w:rPr>
          <w:rFonts w:cstheme="minorHAnsi"/>
          <w:sz w:val="24"/>
          <w:szCs w:val="24"/>
        </w:rPr>
        <w:t>is</w:t>
      </w:r>
      <w:r w:rsidR="00593070" w:rsidRPr="00054E92">
        <w:rPr>
          <w:rFonts w:cstheme="minorHAnsi"/>
          <w:sz w:val="24"/>
          <w:szCs w:val="24"/>
        </w:rPr>
        <w:t xml:space="preserve"> used to evaluate proposed programs as to whether they will contribute to the effort to achieve economic self-sufficiency.  For example, the Standard has been used to evaluate proposed economic development programs</w:t>
      </w:r>
      <w:r w:rsidR="00790548" w:rsidRPr="00054E92">
        <w:rPr>
          <w:rFonts w:cstheme="minorHAnsi"/>
          <w:sz w:val="24"/>
          <w:szCs w:val="24"/>
        </w:rPr>
        <w:t xml:space="preserve">, by examining the wages that would be paid </w:t>
      </w:r>
      <w:r w:rsidR="000D0E2F" w:rsidRPr="00054E92">
        <w:rPr>
          <w:rFonts w:cstheme="minorHAnsi"/>
          <w:sz w:val="24"/>
          <w:szCs w:val="24"/>
        </w:rPr>
        <w:t xml:space="preserve">to </w:t>
      </w:r>
      <w:r w:rsidR="00790548" w:rsidRPr="00054E92">
        <w:rPr>
          <w:rFonts w:cstheme="minorHAnsi"/>
          <w:sz w:val="24"/>
          <w:szCs w:val="24"/>
        </w:rPr>
        <w:t xml:space="preserve">future workers in enterprises seeking to enter a particular state with the aid of tax and other state subsidies and support.  Likewise, </w:t>
      </w:r>
      <w:r w:rsidR="000D0E2F" w:rsidRPr="00054E92">
        <w:rPr>
          <w:rFonts w:cstheme="minorHAnsi"/>
          <w:sz w:val="24"/>
          <w:szCs w:val="24"/>
        </w:rPr>
        <w:t xml:space="preserve">the Standard </w:t>
      </w:r>
      <w:r w:rsidR="00531233" w:rsidRPr="00054E92">
        <w:rPr>
          <w:rFonts w:cstheme="minorHAnsi"/>
          <w:sz w:val="24"/>
          <w:szCs w:val="24"/>
        </w:rPr>
        <w:t xml:space="preserve">is used to </w:t>
      </w:r>
      <w:r w:rsidR="00531233" w:rsidRPr="00054E92">
        <w:rPr>
          <w:rFonts w:eastAsia="Times New Roman" w:cstheme="minorHAnsi"/>
          <w:sz w:val="24"/>
          <w:szCs w:val="24"/>
        </w:rPr>
        <w:t xml:space="preserve">aid </w:t>
      </w:r>
      <w:r w:rsidR="00CC369E" w:rsidRPr="00054E92">
        <w:rPr>
          <w:rFonts w:eastAsia="Times New Roman" w:cstheme="minorHAnsi"/>
          <w:sz w:val="24"/>
          <w:szCs w:val="24"/>
        </w:rPr>
        <w:t>the "smart" allocation of scarce education and training resources</w:t>
      </w:r>
      <w:r w:rsidR="00CC3F4C" w:rsidRPr="00054E92">
        <w:rPr>
          <w:rFonts w:eastAsia="Times New Roman" w:cstheme="minorHAnsi"/>
          <w:sz w:val="24"/>
          <w:szCs w:val="24"/>
        </w:rPr>
        <w:t>.</w:t>
      </w:r>
      <w:r w:rsidR="00CC369E" w:rsidRPr="00054E92">
        <w:rPr>
          <w:rFonts w:cstheme="minorHAnsi"/>
          <w:sz w:val="24"/>
          <w:szCs w:val="24"/>
        </w:rPr>
        <w:t xml:space="preserve"> </w:t>
      </w:r>
      <w:r w:rsidR="00CC3F4C" w:rsidRPr="00054E92">
        <w:rPr>
          <w:rFonts w:cstheme="minorHAnsi"/>
          <w:sz w:val="24"/>
          <w:szCs w:val="24"/>
        </w:rPr>
        <w:t xml:space="preserve">Beyond public policies and programs, </w:t>
      </w:r>
      <w:r w:rsidR="00790548" w:rsidRPr="00054E92">
        <w:rPr>
          <w:rFonts w:cstheme="minorHAnsi"/>
          <w:sz w:val="24"/>
          <w:szCs w:val="24"/>
        </w:rPr>
        <w:t>the Standard has been used to advocate directly for higher wages</w:t>
      </w:r>
      <w:r w:rsidR="000D0E2F" w:rsidRPr="00054E92">
        <w:rPr>
          <w:rFonts w:cstheme="minorHAnsi"/>
          <w:sz w:val="24"/>
          <w:szCs w:val="24"/>
        </w:rPr>
        <w:t xml:space="preserve"> </w:t>
      </w:r>
      <w:r w:rsidR="00790548" w:rsidRPr="00054E92">
        <w:rPr>
          <w:rFonts w:cstheme="minorHAnsi"/>
          <w:sz w:val="24"/>
          <w:szCs w:val="24"/>
        </w:rPr>
        <w:t>by unions, Living Wage campaigns</w:t>
      </w:r>
      <w:r w:rsidR="000D0E2F" w:rsidRPr="00054E92">
        <w:rPr>
          <w:rFonts w:cstheme="minorHAnsi"/>
          <w:sz w:val="24"/>
          <w:szCs w:val="24"/>
        </w:rPr>
        <w:t>,</w:t>
      </w:r>
      <w:r w:rsidR="00790548" w:rsidRPr="00054E92">
        <w:rPr>
          <w:rFonts w:cstheme="minorHAnsi"/>
          <w:sz w:val="24"/>
          <w:szCs w:val="24"/>
        </w:rPr>
        <w:t xml:space="preserve"> and in wage negotiations.</w:t>
      </w:r>
    </w:p>
    <w:p w:rsidR="006F7BB4" w:rsidRPr="00054E92" w:rsidRDefault="006F7BB4" w:rsidP="00120FA1">
      <w:pPr>
        <w:rPr>
          <w:rFonts w:cstheme="minorHAnsi"/>
          <w:sz w:val="24"/>
          <w:szCs w:val="24"/>
        </w:rPr>
      </w:pPr>
      <w:r w:rsidRPr="00054E92">
        <w:rPr>
          <w:rFonts w:cstheme="minorHAnsi"/>
          <w:sz w:val="24"/>
          <w:szCs w:val="24"/>
        </w:rPr>
        <w:t>Though it has its roots in the workforce and anti-poverty programs, the Standard has also come full circle to become a t</w:t>
      </w:r>
      <w:r w:rsidR="003C319C" w:rsidRPr="00054E92">
        <w:rPr>
          <w:rFonts w:cstheme="minorHAnsi"/>
          <w:sz w:val="24"/>
          <w:szCs w:val="24"/>
        </w:rPr>
        <w:t>ool for research, which is described in more detail in the next section.</w:t>
      </w:r>
    </w:p>
    <w:p w:rsidR="00120FA1" w:rsidRPr="00054E92" w:rsidRDefault="00235F0C" w:rsidP="00120FA1">
      <w:pPr>
        <w:rPr>
          <w:rFonts w:cstheme="minorHAnsi"/>
          <w:sz w:val="24"/>
          <w:szCs w:val="24"/>
        </w:rPr>
      </w:pPr>
      <w:r w:rsidRPr="00054E92">
        <w:rPr>
          <w:rFonts w:cstheme="minorHAnsi"/>
          <w:b/>
          <w:sz w:val="24"/>
          <w:szCs w:val="24"/>
        </w:rPr>
        <w:t>How the Standard Challenges Our Understanding of Poverty, Income Inequality, and Income Sufficiency</w:t>
      </w:r>
      <w:r w:rsidR="00CC3F4C" w:rsidRPr="00054E92">
        <w:rPr>
          <w:rFonts w:cstheme="minorHAnsi"/>
          <w:sz w:val="24"/>
          <w:szCs w:val="24"/>
        </w:rPr>
        <w:t xml:space="preserve"> </w:t>
      </w:r>
    </w:p>
    <w:p w:rsidR="000B3990" w:rsidRPr="00054E92" w:rsidRDefault="003D53A1" w:rsidP="00DB6B91">
      <w:pPr>
        <w:ind w:firstLine="720"/>
        <w:rPr>
          <w:rFonts w:cstheme="minorHAnsi"/>
          <w:sz w:val="24"/>
          <w:szCs w:val="24"/>
        </w:rPr>
      </w:pPr>
      <w:r w:rsidRPr="00054E92">
        <w:rPr>
          <w:rFonts w:cstheme="minorHAnsi"/>
          <w:sz w:val="24"/>
          <w:szCs w:val="24"/>
        </w:rPr>
        <w:t>While t</w:t>
      </w:r>
      <w:r w:rsidR="00466020" w:rsidRPr="00054E92">
        <w:rPr>
          <w:rFonts w:cstheme="minorHAnsi"/>
          <w:sz w:val="24"/>
          <w:szCs w:val="24"/>
        </w:rPr>
        <w:t>he SPM is help</w:t>
      </w:r>
      <w:r w:rsidRPr="00054E92">
        <w:rPr>
          <w:rFonts w:cstheme="minorHAnsi"/>
          <w:sz w:val="24"/>
          <w:szCs w:val="24"/>
        </w:rPr>
        <w:t xml:space="preserve">ing to deepen our understanding </w:t>
      </w:r>
      <w:r w:rsidR="00466020" w:rsidRPr="00054E92">
        <w:rPr>
          <w:rFonts w:cstheme="minorHAnsi"/>
          <w:sz w:val="24"/>
          <w:szCs w:val="24"/>
        </w:rPr>
        <w:t xml:space="preserve">of </w:t>
      </w:r>
      <w:r w:rsidR="006F7BB4" w:rsidRPr="00054E92">
        <w:rPr>
          <w:rFonts w:cstheme="minorHAnsi"/>
          <w:sz w:val="24"/>
          <w:szCs w:val="24"/>
        </w:rPr>
        <w:t>some aspects of poverty and deprivation</w:t>
      </w:r>
      <w:r w:rsidRPr="00054E92">
        <w:rPr>
          <w:rFonts w:cstheme="minorHAnsi"/>
          <w:sz w:val="24"/>
          <w:szCs w:val="24"/>
        </w:rPr>
        <w:t>,</w:t>
      </w:r>
      <w:r w:rsidR="00042EE2" w:rsidRPr="00054E92">
        <w:rPr>
          <w:rFonts w:cstheme="minorHAnsi"/>
          <w:sz w:val="24"/>
          <w:szCs w:val="24"/>
        </w:rPr>
        <w:t xml:space="preserve"> </w:t>
      </w:r>
      <w:r w:rsidR="00531233" w:rsidRPr="00054E92">
        <w:rPr>
          <w:rFonts w:cstheme="minorHAnsi"/>
          <w:sz w:val="24"/>
          <w:szCs w:val="24"/>
        </w:rPr>
        <w:t>t</w:t>
      </w:r>
      <w:r w:rsidR="00466020" w:rsidRPr="00054E92">
        <w:rPr>
          <w:rFonts w:cstheme="minorHAnsi"/>
          <w:sz w:val="24"/>
          <w:szCs w:val="24"/>
        </w:rPr>
        <w:t>he Standard is also challeng</w:t>
      </w:r>
      <w:r w:rsidR="00531233" w:rsidRPr="00054E92">
        <w:rPr>
          <w:rFonts w:cstheme="minorHAnsi"/>
          <w:sz w:val="24"/>
          <w:szCs w:val="24"/>
        </w:rPr>
        <w:t>ing</w:t>
      </w:r>
      <w:r w:rsidR="00585878" w:rsidRPr="00054E92">
        <w:rPr>
          <w:rFonts w:cstheme="minorHAnsi"/>
          <w:sz w:val="24"/>
          <w:szCs w:val="24"/>
        </w:rPr>
        <w:t xml:space="preserve"> </w:t>
      </w:r>
      <w:r w:rsidR="00466020" w:rsidRPr="00054E92">
        <w:rPr>
          <w:rFonts w:cstheme="minorHAnsi"/>
          <w:sz w:val="24"/>
          <w:szCs w:val="24"/>
        </w:rPr>
        <w:t xml:space="preserve">long held notions about “poverty” and income sufficiency.  </w:t>
      </w:r>
      <w:r w:rsidR="006F7BB4" w:rsidRPr="00054E92">
        <w:rPr>
          <w:rFonts w:cstheme="minorHAnsi"/>
          <w:sz w:val="24"/>
          <w:szCs w:val="24"/>
        </w:rPr>
        <w:t xml:space="preserve">This section </w:t>
      </w:r>
      <w:r w:rsidR="00F141A0" w:rsidRPr="00054E92">
        <w:rPr>
          <w:rFonts w:cstheme="minorHAnsi"/>
          <w:sz w:val="24"/>
          <w:szCs w:val="24"/>
        </w:rPr>
        <w:t>focus</w:t>
      </w:r>
      <w:r w:rsidR="006F7BB4" w:rsidRPr="00054E92">
        <w:rPr>
          <w:rFonts w:cstheme="minorHAnsi"/>
          <w:sz w:val="24"/>
          <w:szCs w:val="24"/>
        </w:rPr>
        <w:t>es</w:t>
      </w:r>
      <w:r w:rsidR="00F141A0" w:rsidRPr="00054E92">
        <w:rPr>
          <w:rFonts w:cstheme="minorHAnsi"/>
          <w:sz w:val="24"/>
          <w:szCs w:val="24"/>
        </w:rPr>
        <w:t xml:space="preserve"> on three areas</w:t>
      </w:r>
      <w:r w:rsidR="006F7BB4" w:rsidRPr="00054E92">
        <w:rPr>
          <w:rFonts w:cstheme="minorHAnsi"/>
          <w:sz w:val="24"/>
          <w:szCs w:val="24"/>
        </w:rPr>
        <w:t xml:space="preserve"> where the Standard reveals a different perspective on these issues</w:t>
      </w:r>
      <w:r w:rsidR="00F141A0" w:rsidRPr="00054E92">
        <w:rPr>
          <w:rFonts w:cstheme="minorHAnsi"/>
          <w:sz w:val="24"/>
          <w:szCs w:val="24"/>
        </w:rPr>
        <w:t xml:space="preserve">:  the rising costs facing households at the basic needs level, </w:t>
      </w:r>
      <w:r w:rsidR="00FA66CC" w:rsidRPr="00054E92">
        <w:rPr>
          <w:rFonts w:cstheme="minorHAnsi"/>
          <w:sz w:val="24"/>
          <w:szCs w:val="24"/>
        </w:rPr>
        <w:t xml:space="preserve">the </w:t>
      </w:r>
      <w:r w:rsidR="003C319C" w:rsidRPr="00054E92">
        <w:rPr>
          <w:rFonts w:cstheme="minorHAnsi"/>
          <w:sz w:val="24"/>
          <w:szCs w:val="24"/>
        </w:rPr>
        <w:t xml:space="preserve">geographical </w:t>
      </w:r>
      <w:r w:rsidR="00FA66CC" w:rsidRPr="00054E92">
        <w:rPr>
          <w:rFonts w:cstheme="minorHAnsi"/>
          <w:sz w:val="24"/>
          <w:szCs w:val="24"/>
        </w:rPr>
        <w:t>incidence of income insufficiency when cost of living is taken into account, and the shifting of the burden of income insufficiency unto the backs of adults who are workers, not</w:t>
      </w:r>
      <w:r w:rsidR="009A72B8" w:rsidRPr="00054E92">
        <w:rPr>
          <w:rFonts w:cstheme="minorHAnsi"/>
          <w:sz w:val="24"/>
          <w:szCs w:val="24"/>
        </w:rPr>
        <w:t xml:space="preserve"> those who are</w:t>
      </w:r>
      <w:r w:rsidR="00FA66CC" w:rsidRPr="00054E92">
        <w:rPr>
          <w:rFonts w:cstheme="minorHAnsi"/>
          <w:sz w:val="24"/>
          <w:szCs w:val="24"/>
        </w:rPr>
        <w:t xml:space="preserve"> out of the labor force or even marginal to it.</w:t>
      </w:r>
    </w:p>
    <w:p w:rsidR="003D53A1" w:rsidRPr="00054E92" w:rsidRDefault="003D53A1" w:rsidP="00DB6B91">
      <w:pPr>
        <w:pStyle w:val="ListParagraph"/>
        <w:numPr>
          <w:ilvl w:val="0"/>
          <w:numId w:val="8"/>
        </w:numPr>
        <w:ind w:firstLine="0"/>
        <w:rPr>
          <w:rFonts w:cstheme="minorHAnsi"/>
          <w:b/>
          <w:sz w:val="24"/>
          <w:szCs w:val="24"/>
        </w:rPr>
      </w:pPr>
      <w:r w:rsidRPr="00054E92">
        <w:rPr>
          <w:rFonts w:cstheme="minorHAnsi"/>
          <w:b/>
          <w:sz w:val="24"/>
          <w:szCs w:val="24"/>
        </w:rPr>
        <w:t>Rising Costs Facing Low Income Families</w:t>
      </w:r>
    </w:p>
    <w:p w:rsidR="00C43696" w:rsidRPr="00054E92" w:rsidRDefault="00050B3D" w:rsidP="00DB6B91">
      <w:pPr>
        <w:ind w:firstLine="720"/>
        <w:rPr>
          <w:rFonts w:cstheme="minorHAnsi"/>
          <w:sz w:val="24"/>
          <w:szCs w:val="24"/>
        </w:rPr>
      </w:pPr>
      <w:r w:rsidRPr="00054E92">
        <w:rPr>
          <w:rFonts w:cstheme="minorHAnsi"/>
          <w:sz w:val="24"/>
          <w:szCs w:val="24"/>
        </w:rPr>
        <w:t xml:space="preserve">It is well known that wages and income have been stagnating over the last several decades, and most recently, even falling.  What this means for many families, however, depends upon what is happening to costs.  </w:t>
      </w:r>
      <w:r w:rsidR="00B14B81" w:rsidRPr="00054E92">
        <w:rPr>
          <w:rFonts w:cstheme="minorHAnsi"/>
          <w:sz w:val="24"/>
          <w:szCs w:val="24"/>
        </w:rPr>
        <w:t>That is, if costs were also not rising, or even falling, then languishing incomes would be much less of a problem.  But that is far from what people are experiencing; i</w:t>
      </w:r>
      <w:r w:rsidRPr="00054E92">
        <w:rPr>
          <w:rFonts w:cstheme="minorHAnsi"/>
          <w:sz w:val="24"/>
          <w:szCs w:val="24"/>
        </w:rPr>
        <w:t>t has been observed at a general level that American families are experiencing a “crunch” (Bernstein, 2008), where wages are not keeping up with costs. With the Standard, it is possible to document this “crunch” on the costs side</w:t>
      </w:r>
      <w:r w:rsidR="0080526B" w:rsidRPr="00054E92">
        <w:rPr>
          <w:rFonts w:cstheme="minorHAnsi"/>
          <w:sz w:val="24"/>
          <w:szCs w:val="24"/>
        </w:rPr>
        <w:t xml:space="preserve"> for families at this minimally adequate income level</w:t>
      </w:r>
      <w:r w:rsidRPr="00054E92">
        <w:rPr>
          <w:rFonts w:cstheme="minorHAnsi"/>
          <w:sz w:val="24"/>
          <w:szCs w:val="24"/>
        </w:rPr>
        <w:t xml:space="preserve">.  </w:t>
      </w:r>
      <w:r w:rsidR="0080526B" w:rsidRPr="00054E92">
        <w:rPr>
          <w:rFonts w:cstheme="minorHAnsi"/>
          <w:sz w:val="24"/>
          <w:szCs w:val="24"/>
        </w:rPr>
        <w:t>Moreover,</w:t>
      </w:r>
      <w:r w:rsidRPr="00054E92">
        <w:rPr>
          <w:rFonts w:cstheme="minorHAnsi"/>
          <w:sz w:val="24"/>
          <w:szCs w:val="24"/>
        </w:rPr>
        <w:t xml:space="preserve"> costs are rising, with some variation, not only faster than incomes, but even faster than is depicted by the official measure of inflation, the Consumer Price Index</w:t>
      </w:r>
      <w:r w:rsidR="009A72B8" w:rsidRPr="00054E92">
        <w:rPr>
          <w:rFonts w:cstheme="minorHAnsi"/>
          <w:sz w:val="24"/>
          <w:szCs w:val="24"/>
        </w:rPr>
        <w:t xml:space="preserve"> </w:t>
      </w:r>
      <w:r w:rsidRPr="00054E92">
        <w:rPr>
          <w:rFonts w:cstheme="minorHAnsi"/>
          <w:sz w:val="24"/>
          <w:szCs w:val="24"/>
        </w:rPr>
        <w:t>(CPI).</w:t>
      </w:r>
      <w:r w:rsidR="009A72B8" w:rsidRPr="00054E92">
        <w:rPr>
          <w:rFonts w:cstheme="minorHAnsi"/>
          <w:sz w:val="24"/>
          <w:szCs w:val="24"/>
        </w:rPr>
        <w:t xml:space="preserve">  </w:t>
      </w:r>
    </w:p>
    <w:p w:rsidR="0080526B" w:rsidRPr="00054E92" w:rsidRDefault="0080526B" w:rsidP="00DB6B91">
      <w:pPr>
        <w:ind w:firstLine="720"/>
        <w:rPr>
          <w:rFonts w:cstheme="minorHAnsi"/>
          <w:sz w:val="24"/>
          <w:szCs w:val="24"/>
        </w:rPr>
      </w:pPr>
      <w:r w:rsidRPr="00054E92">
        <w:rPr>
          <w:rFonts w:cstheme="minorHAnsi"/>
          <w:sz w:val="24"/>
          <w:szCs w:val="24"/>
        </w:rPr>
        <w:lastRenderedPageBreak/>
        <w:t xml:space="preserve">In Table 1, a comparison is made between using the CPI to update the costs in the Standard versus the actual increase in costs of the </w:t>
      </w:r>
      <w:r w:rsidR="00B03DE9" w:rsidRPr="00054E92">
        <w:rPr>
          <w:rFonts w:cstheme="minorHAnsi"/>
          <w:sz w:val="24"/>
          <w:szCs w:val="24"/>
        </w:rPr>
        <w:t>Standard</w:t>
      </w:r>
      <w:r w:rsidRPr="00054E92">
        <w:rPr>
          <w:rFonts w:cstheme="minorHAnsi"/>
          <w:sz w:val="24"/>
          <w:szCs w:val="24"/>
        </w:rPr>
        <w:t xml:space="preserve"> over time</w:t>
      </w:r>
      <w:r w:rsidR="005974C6" w:rsidRPr="00054E92">
        <w:rPr>
          <w:rFonts w:cstheme="minorHAnsi"/>
          <w:sz w:val="24"/>
          <w:szCs w:val="24"/>
        </w:rPr>
        <w:t xml:space="preserve">.  After all, if </w:t>
      </w:r>
      <w:r w:rsidR="003C319C" w:rsidRPr="00054E92">
        <w:rPr>
          <w:rFonts w:cstheme="minorHAnsi"/>
          <w:sz w:val="24"/>
          <w:szCs w:val="24"/>
        </w:rPr>
        <w:t xml:space="preserve">the Standard </w:t>
      </w:r>
      <w:r w:rsidR="0095177E" w:rsidRPr="00054E92">
        <w:rPr>
          <w:rFonts w:cstheme="minorHAnsi"/>
          <w:sz w:val="24"/>
          <w:szCs w:val="24"/>
        </w:rPr>
        <w:t>once</w:t>
      </w:r>
      <w:r w:rsidR="005974C6" w:rsidRPr="00054E92">
        <w:rPr>
          <w:rFonts w:cstheme="minorHAnsi"/>
          <w:sz w:val="24"/>
          <w:szCs w:val="24"/>
        </w:rPr>
        <w:t xml:space="preserve"> calculated </w:t>
      </w:r>
      <w:r w:rsidR="00761256" w:rsidRPr="00054E92">
        <w:rPr>
          <w:rFonts w:cstheme="minorHAnsi"/>
          <w:sz w:val="24"/>
          <w:szCs w:val="24"/>
        </w:rPr>
        <w:t>could be updated with the CPI</w:t>
      </w:r>
      <w:r w:rsidR="005974C6" w:rsidRPr="00054E92">
        <w:rPr>
          <w:rFonts w:cstheme="minorHAnsi"/>
          <w:sz w:val="24"/>
          <w:szCs w:val="24"/>
        </w:rPr>
        <w:t xml:space="preserve"> that would make things a lot easier.  It turns out, however, that using the CPI underestimates the increase in the cost of living, sometimes by a lot, and sometimes less so</w:t>
      </w:r>
      <w:r w:rsidR="00761256" w:rsidRPr="00054E92">
        <w:rPr>
          <w:rFonts w:cstheme="minorHAnsi"/>
          <w:sz w:val="24"/>
          <w:szCs w:val="24"/>
        </w:rPr>
        <w:t>, as Renwick (1998) had found using generic Basic Needs Budgets in the early 1990s</w:t>
      </w:r>
      <w:r w:rsidR="005974C6" w:rsidRPr="00054E92">
        <w:rPr>
          <w:rFonts w:cstheme="minorHAnsi"/>
          <w:sz w:val="24"/>
          <w:szCs w:val="24"/>
        </w:rPr>
        <w:t xml:space="preserve">.  </w:t>
      </w:r>
      <w:r w:rsidR="00FE7B37" w:rsidRPr="00054E92">
        <w:rPr>
          <w:rFonts w:cstheme="minorHAnsi"/>
          <w:sz w:val="24"/>
          <w:szCs w:val="24"/>
        </w:rPr>
        <w:t>Table 1</w:t>
      </w:r>
      <w:r w:rsidR="00BE257B" w:rsidRPr="00054E92">
        <w:rPr>
          <w:rFonts w:cstheme="minorHAnsi"/>
          <w:sz w:val="24"/>
          <w:szCs w:val="24"/>
        </w:rPr>
        <w:t xml:space="preserve"> </w:t>
      </w:r>
      <w:r w:rsidR="00AF6CAB" w:rsidRPr="00054E92">
        <w:rPr>
          <w:rFonts w:cstheme="minorHAnsi"/>
          <w:sz w:val="24"/>
          <w:szCs w:val="24"/>
        </w:rPr>
        <w:t>shows</w:t>
      </w:r>
      <w:r w:rsidR="00BE257B" w:rsidRPr="00054E92">
        <w:rPr>
          <w:rFonts w:cstheme="minorHAnsi"/>
          <w:sz w:val="24"/>
          <w:szCs w:val="24"/>
        </w:rPr>
        <w:t xml:space="preserve"> the median Standard</w:t>
      </w:r>
      <w:r w:rsidR="0095177E" w:rsidRPr="00054E92">
        <w:rPr>
          <w:rFonts w:cstheme="minorHAnsi"/>
          <w:sz w:val="24"/>
          <w:szCs w:val="24"/>
        </w:rPr>
        <w:t xml:space="preserve"> (of all family types)</w:t>
      </w:r>
      <w:r w:rsidR="00BE257B" w:rsidRPr="00054E92">
        <w:rPr>
          <w:rFonts w:cstheme="minorHAnsi"/>
          <w:sz w:val="24"/>
          <w:szCs w:val="24"/>
        </w:rPr>
        <w:t xml:space="preserve"> from </w:t>
      </w:r>
      <w:r w:rsidR="00856474" w:rsidRPr="00054E92">
        <w:rPr>
          <w:rFonts w:cstheme="minorHAnsi"/>
          <w:sz w:val="24"/>
          <w:szCs w:val="24"/>
        </w:rPr>
        <w:t>two places in each state</w:t>
      </w:r>
      <w:r w:rsidR="00BE257B" w:rsidRPr="00054E92">
        <w:rPr>
          <w:rFonts w:cstheme="minorHAnsi"/>
          <w:sz w:val="24"/>
          <w:szCs w:val="24"/>
        </w:rPr>
        <w:t xml:space="preserve">, </w:t>
      </w:r>
      <w:r w:rsidRPr="00054E92">
        <w:rPr>
          <w:rFonts w:cstheme="minorHAnsi"/>
          <w:sz w:val="24"/>
          <w:szCs w:val="24"/>
        </w:rPr>
        <w:t>with the first county listed being</w:t>
      </w:r>
      <w:r w:rsidR="00BE257B" w:rsidRPr="00054E92">
        <w:rPr>
          <w:rFonts w:cstheme="minorHAnsi"/>
          <w:sz w:val="24"/>
          <w:szCs w:val="24"/>
        </w:rPr>
        <w:t xml:space="preserve"> an urban county and </w:t>
      </w:r>
      <w:r w:rsidRPr="00054E92">
        <w:rPr>
          <w:rFonts w:cstheme="minorHAnsi"/>
          <w:sz w:val="24"/>
          <w:szCs w:val="24"/>
        </w:rPr>
        <w:t xml:space="preserve">the second one for the state being </w:t>
      </w:r>
      <w:r w:rsidR="00BE257B" w:rsidRPr="00054E92">
        <w:rPr>
          <w:rFonts w:cstheme="minorHAnsi"/>
          <w:sz w:val="24"/>
          <w:szCs w:val="24"/>
        </w:rPr>
        <w:t xml:space="preserve">a rural county, </w:t>
      </w:r>
      <w:r w:rsidR="00856474" w:rsidRPr="00054E92">
        <w:rPr>
          <w:rFonts w:cstheme="minorHAnsi"/>
          <w:sz w:val="24"/>
          <w:szCs w:val="24"/>
        </w:rPr>
        <w:t>at several points in time</w:t>
      </w:r>
      <w:r w:rsidR="00BE257B" w:rsidRPr="00054E92">
        <w:rPr>
          <w:rFonts w:cstheme="minorHAnsi"/>
          <w:sz w:val="24"/>
          <w:szCs w:val="24"/>
        </w:rPr>
        <w:t>.</w:t>
      </w:r>
      <w:r w:rsidR="000C2A86" w:rsidRPr="00054E92">
        <w:rPr>
          <w:rFonts w:cstheme="minorHAnsi"/>
          <w:sz w:val="24"/>
          <w:szCs w:val="24"/>
        </w:rPr>
        <w:t xml:space="preserve"> </w:t>
      </w:r>
      <w:r w:rsidR="00AF6CAB" w:rsidRPr="00054E92">
        <w:rPr>
          <w:rFonts w:cstheme="minorHAnsi"/>
          <w:sz w:val="24"/>
          <w:szCs w:val="24"/>
        </w:rPr>
        <w:t xml:space="preserve">For each </w:t>
      </w:r>
      <w:r w:rsidRPr="00054E92">
        <w:rPr>
          <w:rFonts w:cstheme="minorHAnsi"/>
          <w:sz w:val="24"/>
          <w:szCs w:val="24"/>
        </w:rPr>
        <w:t>place, two points in time</w:t>
      </w:r>
      <w:r w:rsidR="00AF6CAB" w:rsidRPr="00054E92">
        <w:rPr>
          <w:rFonts w:cstheme="minorHAnsi"/>
          <w:sz w:val="24"/>
          <w:szCs w:val="24"/>
        </w:rPr>
        <w:t xml:space="preserve"> </w:t>
      </w:r>
      <w:r w:rsidRPr="00054E92">
        <w:rPr>
          <w:rFonts w:cstheme="minorHAnsi"/>
          <w:sz w:val="24"/>
          <w:szCs w:val="24"/>
        </w:rPr>
        <w:t>are compared</w:t>
      </w:r>
      <w:r w:rsidR="00AF6CAB" w:rsidRPr="00054E92">
        <w:rPr>
          <w:rFonts w:cstheme="minorHAnsi"/>
          <w:sz w:val="24"/>
          <w:szCs w:val="24"/>
        </w:rPr>
        <w:t xml:space="preserve">, </w:t>
      </w:r>
      <w:r w:rsidRPr="00054E92">
        <w:rPr>
          <w:rFonts w:cstheme="minorHAnsi"/>
          <w:sz w:val="24"/>
          <w:szCs w:val="24"/>
        </w:rPr>
        <w:t xml:space="preserve">showing the percent change in the actual Standards, </w:t>
      </w:r>
      <w:r w:rsidR="00AF6CAB" w:rsidRPr="00054E92">
        <w:rPr>
          <w:rFonts w:cstheme="minorHAnsi"/>
          <w:sz w:val="24"/>
          <w:szCs w:val="24"/>
        </w:rPr>
        <w:t xml:space="preserve">and then in the second line, </w:t>
      </w:r>
      <w:r w:rsidRPr="00054E92">
        <w:rPr>
          <w:rFonts w:cstheme="minorHAnsi"/>
          <w:sz w:val="24"/>
          <w:szCs w:val="24"/>
        </w:rPr>
        <w:t xml:space="preserve">the percent change when </w:t>
      </w:r>
      <w:r w:rsidR="000C2A86" w:rsidRPr="00054E92">
        <w:rPr>
          <w:rFonts w:cstheme="minorHAnsi"/>
          <w:sz w:val="24"/>
          <w:szCs w:val="24"/>
        </w:rPr>
        <w:t>the earlier Standard</w:t>
      </w:r>
      <w:r w:rsidR="00AF6CAB" w:rsidRPr="00054E92">
        <w:rPr>
          <w:rFonts w:cstheme="minorHAnsi"/>
          <w:sz w:val="24"/>
          <w:szCs w:val="24"/>
        </w:rPr>
        <w:t xml:space="preserve"> is</w:t>
      </w:r>
      <w:r w:rsidR="000C2A86" w:rsidRPr="00054E92">
        <w:rPr>
          <w:rFonts w:cstheme="minorHAnsi"/>
          <w:sz w:val="24"/>
          <w:szCs w:val="24"/>
        </w:rPr>
        <w:t xml:space="preserve"> updated using the regional CPI.  </w:t>
      </w:r>
      <w:r w:rsidR="00AF6CAB" w:rsidRPr="00054E92">
        <w:rPr>
          <w:rFonts w:cstheme="minorHAnsi"/>
          <w:sz w:val="24"/>
          <w:szCs w:val="24"/>
        </w:rPr>
        <w:t>Note that for this comparison</w:t>
      </w:r>
      <w:r w:rsidR="000C2A86" w:rsidRPr="00054E92">
        <w:rPr>
          <w:rFonts w:cstheme="minorHAnsi"/>
          <w:sz w:val="24"/>
          <w:szCs w:val="24"/>
        </w:rPr>
        <w:t xml:space="preserve"> taxes and tax credits</w:t>
      </w:r>
      <w:r w:rsidR="00903D30" w:rsidRPr="00054E92">
        <w:rPr>
          <w:rFonts w:cstheme="minorHAnsi"/>
          <w:sz w:val="24"/>
          <w:szCs w:val="24"/>
        </w:rPr>
        <w:t xml:space="preserve"> </w:t>
      </w:r>
      <w:r w:rsidR="00AF6CAB" w:rsidRPr="00054E92">
        <w:rPr>
          <w:rFonts w:cstheme="minorHAnsi"/>
          <w:sz w:val="24"/>
          <w:szCs w:val="24"/>
        </w:rPr>
        <w:t xml:space="preserve">are taken </w:t>
      </w:r>
      <w:r w:rsidR="00903D30" w:rsidRPr="00054E92">
        <w:rPr>
          <w:rFonts w:cstheme="minorHAnsi"/>
          <w:sz w:val="24"/>
          <w:szCs w:val="24"/>
        </w:rPr>
        <w:t>out of the Standard</w:t>
      </w:r>
      <w:r w:rsidR="000C2A86" w:rsidRPr="00054E92">
        <w:rPr>
          <w:rFonts w:cstheme="minorHAnsi"/>
          <w:sz w:val="24"/>
          <w:szCs w:val="24"/>
        </w:rPr>
        <w:t xml:space="preserve">, as those are not included in the CPI.  </w:t>
      </w:r>
    </w:p>
    <w:p w:rsidR="00DB6B91" w:rsidRDefault="005974C6" w:rsidP="00DB6B91">
      <w:pPr>
        <w:ind w:firstLine="720"/>
        <w:rPr>
          <w:rFonts w:cstheme="minorHAnsi"/>
          <w:sz w:val="24"/>
          <w:szCs w:val="24"/>
        </w:rPr>
      </w:pPr>
      <w:r w:rsidRPr="00054E92">
        <w:rPr>
          <w:rFonts w:cstheme="minorHAnsi"/>
          <w:sz w:val="24"/>
          <w:szCs w:val="24"/>
        </w:rPr>
        <w:t>As</w:t>
      </w:r>
      <w:r w:rsidR="00BE257B" w:rsidRPr="00054E92">
        <w:rPr>
          <w:rFonts w:cstheme="minorHAnsi"/>
          <w:sz w:val="24"/>
          <w:szCs w:val="24"/>
        </w:rPr>
        <w:t xml:space="preserve"> can be seen</w:t>
      </w:r>
      <w:r w:rsidRPr="00054E92">
        <w:rPr>
          <w:rFonts w:cstheme="minorHAnsi"/>
          <w:sz w:val="24"/>
          <w:szCs w:val="24"/>
        </w:rPr>
        <w:t xml:space="preserve"> in Table </w:t>
      </w:r>
      <w:r w:rsidR="00856474" w:rsidRPr="00054E92">
        <w:rPr>
          <w:rFonts w:cstheme="minorHAnsi"/>
          <w:sz w:val="24"/>
          <w:szCs w:val="24"/>
        </w:rPr>
        <w:t>1</w:t>
      </w:r>
      <w:r w:rsidRPr="00054E92">
        <w:rPr>
          <w:rFonts w:cstheme="minorHAnsi"/>
          <w:sz w:val="24"/>
          <w:szCs w:val="24"/>
        </w:rPr>
        <w:t xml:space="preserve">, </w:t>
      </w:r>
      <w:r w:rsidR="00856474" w:rsidRPr="00054E92">
        <w:rPr>
          <w:rFonts w:cstheme="minorHAnsi"/>
          <w:sz w:val="24"/>
          <w:szCs w:val="24"/>
        </w:rPr>
        <w:t xml:space="preserve">average </w:t>
      </w:r>
      <w:r w:rsidRPr="00054E92">
        <w:rPr>
          <w:rFonts w:cstheme="minorHAnsi"/>
          <w:sz w:val="24"/>
          <w:szCs w:val="24"/>
        </w:rPr>
        <w:t xml:space="preserve">annual increases in the </w:t>
      </w:r>
      <w:r w:rsidR="00856474" w:rsidRPr="00054E92">
        <w:rPr>
          <w:rFonts w:cstheme="minorHAnsi"/>
          <w:sz w:val="24"/>
          <w:szCs w:val="24"/>
        </w:rPr>
        <w:t>SSS</w:t>
      </w:r>
      <w:r w:rsidR="000C2A86" w:rsidRPr="00054E92">
        <w:rPr>
          <w:rFonts w:cstheme="minorHAnsi"/>
          <w:sz w:val="24"/>
          <w:szCs w:val="24"/>
        </w:rPr>
        <w:t xml:space="preserve"> in the early 2000s averaged</w:t>
      </w:r>
      <w:r w:rsidR="00856474" w:rsidRPr="00054E92">
        <w:rPr>
          <w:rFonts w:cstheme="minorHAnsi"/>
          <w:sz w:val="24"/>
          <w:szCs w:val="24"/>
        </w:rPr>
        <w:t xml:space="preserve"> .4 to 1.7% more than updating the Standard with the CPI</w:t>
      </w:r>
      <w:r w:rsidRPr="00054E92">
        <w:rPr>
          <w:rFonts w:cstheme="minorHAnsi"/>
          <w:sz w:val="24"/>
          <w:szCs w:val="24"/>
        </w:rPr>
        <w:t xml:space="preserve"> (using the regional CPI-U)</w:t>
      </w:r>
      <w:r w:rsidR="000C2A86" w:rsidRPr="00054E92">
        <w:rPr>
          <w:rFonts w:cstheme="minorHAnsi"/>
          <w:sz w:val="24"/>
          <w:szCs w:val="24"/>
        </w:rPr>
        <w:t xml:space="preserve"> (except in </w:t>
      </w:r>
      <w:r w:rsidR="00EC4BD4" w:rsidRPr="00054E92">
        <w:rPr>
          <w:rFonts w:cstheme="minorHAnsi"/>
          <w:sz w:val="24"/>
          <w:szCs w:val="24"/>
        </w:rPr>
        <w:t>Grays Harbor</w:t>
      </w:r>
      <w:r w:rsidR="000C2A86" w:rsidRPr="00054E92">
        <w:rPr>
          <w:rFonts w:cstheme="minorHAnsi"/>
          <w:sz w:val="24"/>
          <w:szCs w:val="24"/>
        </w:rPr>
        <w:t>, Washington</w:t>
      </w:r>
      <w:r w:rsidR="00EC4BD4" w:rsidRPr="00054E92">
        <w:rPr>
          <w:rFonts w:cstheme="minorHAnsi"/>
          <w:sz w:val="24"/>
          <w:szCs w:val="24"/>
        </w:rPr>
        <w:t>, where the CPI overestimated the change in costs of .2% per year</w:t>
      </w:r>
      <w:r w:rsidR="000C2A86" w:rsidRPr="00054E92">
        <w:rPr>
          <w:rFonts w:cstheme="minorHAnsi"/>
          <w:sz w:val="24"/>
          <w:szCs w:val="24"/>
        </w:rPr>
        <w:t>)</w:t>
      </w:r>
      <w:r w:rsidRPr="00054E92">
        <w:rPr>
          <w:rFonts w:cstheme="minorHAnsi"/>
          <w:sz w:val="24"/>
          <w:szCs w:val="24"/>
        </w:rPr>
        <w:t xml:space="preserve">.  </w:t>
      </w:r>
      <w:r w:rsidR="00EC4BD4" w:rsidRPr="00054E92">
        <w:rPr>
          <w:rFonts w:cstheme="minorHAnsi"/>
          <w:sz w:val="24"/>
          <w:szCs w:val="24"/>
        </w:rPr>
        <w:t xml:space="preserve">That is, updating with the CPI underestimates the increase in costs documented in the Standard by .4% to 1.7% per year. </w:t>
      </w:r>
      <w:r w:rsidR="008E7E72" w:rsidRPr="00054E92">
        <w:rPr>
          <w:rFonts w:cstheme="minorHAnsi"/>
          <w:sz w:val="24"/>
          <w:szCs w:val="24"/>
        </w:rPr>
        <w:t xml:space="preserve">In </w:t>
      </w:r>
      <w:r w:rsidR="00AF6CAB" w:rsidRPr="00054E92">
        <w:rPr>
          <w:rFonts w:cstheme="minorHAnsi"/>
          <w:sz w:val="24"/>
          <w:szCs w:val="24"/>
        </w:rPr>
        <w:t>the second set of calculations,</w:t>
      </w:r>
      <w:r w:rsidR="008E7E72" w:rsidRPr="00054E92">
        <w:rPr>
          <w:rFonts w:cstheme="minorHAnsi"/>
          <w:sz w:val="24"/>
          <w:szCs w:val="24"/>
        </w:rPr>
        <w:t xml:space="preserve"> the SSS and the CPI</w:t>
      </w:r>
      <w:r w:rsidR="00B401EA" w:rsidRPr="00054E92">
        <w:rPr>
          <w:rFonts w:cstheme="minorHAnsi"/>
          <w:sz w:val="24"/>
          <w:szCs w:val="24"/>
        </w:rPr>
        <w:t xml:space="preserve"> </w:t>
      </w:r>
      <w:r w:rsidR="00AF6CAB" w:rsidRPr="00054E92">
        <w:rPr>
          <w:rFonts w:cstheme="minorHAnsi"/>
          <w:sz w:val="24"/>
          <w:szCs w:val="24"/>
        </w:rPr>
        <w:t xml:space="preserve">updating are compared </w:t>
      </w:r>
      <w:r w:rsidR="00B401EA" w:rsidRPr="00054E92">
        <w:rPr>
          <w:rFonts w:cstheme="minorHAnsi"/>
          <w:sz w:val="24"/>
          <w:szCs w:val="24"/>
        </w:rPr>
        <w:t xml:space="preserve">from the mid-2000s until the most recent calculation (2008-2011).  </w:t>
      </w:r>
      <w:r w:rsidR="003E61A5" w:rsidRPr="00054E92">
        <w:rPr>
          <w:rFonts w:cstheme="minorHAnsi"/>
          <w:sz w:val="24"/>
          <w:szCs w:val="24"/>
        </w:rPr>
        <w:t xml:space="preserve">In </w:t>
      </w:r>
      <w:r w:rsidR="000C2A86" w:rsidRPr="00054E92">
        <w:rPr>
          <w:rFonts w:cstheme="minorHAnsi"/>
          <w:sz w:val="24"/>
          <w:szCs w:val="24"/>
        </w:rPr>
        <w:t xml:space="preserve">these </w:t>
      </w:r>
      <w:r w:rsidR="003E61A5" w:rsidRPr="00054E92">
        <w:rPr>
          <w:rFonts w:cstheme="minorHAnsi"/>
          <w:sz w:val="24"/>
          <w:szCs w:val="24"/>
        </w:rPr>
        <w:t>mo</w:t>
      </w:r>
      <w:r w:rsidR="000C2A86" w:rsidRPr="00054E92">
        <w:rPr>
          <w:rFonts w:cstheme="minorHAnsi"/>
          <w:sz w:val="24"/>
          <w:szCs w:val="24"/>
        </w:rPr>
        <w:t>re</w:t>
      </w:r>
      <w:r w:rsidR="003E61A5" w:rsidRPr="00054E92">
        <w:rPr>
          <w:rFonts w:cstheme="minorHAnsi"/>
          <w:sz w:val="24"/>
          <w:szCs w:val="24"/>
        </w:rPr>
        <w:t xml:space="preserve"> recent years, the gap between the CPI measure of inflation, and the SSS-measured increase in the cost of living, has widened, ranging from </w:t>
      </w:r>
      <w:r w:rsidR="00EC4BD4" w:rsidRPr="00054E92">
        <w:rPr>
          <w:rFonts w:cstheme="minorHAnsi"/>
          <w:sz w:val="24"/>
          <w:szCs w:val="24"/>
        </w:rPr>
        <w:t>.2</w:t>
      </w:r>
      <w:r w:rsidR="003E61A5" w:rsidRPr="00054E92">
        <w:rPr>
          <w:rFonts w:cstheme="minorHAnsi"/>
          <w:sz w:val="24"/>
          <w:szCs w:val="24"/>
        </w:rPr>
        <w:t xml:space="preserve">% to as high as </w:t>
      </w:r>
      <w:r w:rsidR="00EC4BD4" w:rsidRPr="00054E92">
        <w:rPr>
          <w:rFonts w:cstheme="minorHAnsi"/>
          <w:sz w:val="24"/>
          <w:szCs w:val="24"/>
        </w:rPr>
        <w:t>6.3%</w:t>
      </w:r>
      <w:r w:rsidR="00890694" w:rsidRPr="00054E92">
        <w:rPr>
          <w:rFonts w:cstheme="minorHAnsi"/>
          <w:sz w:val="24"/>
          <w:szCs w:val="24"/>
        </w:rPr>
        <w:t xml:space="preserve">.  Since these are annualized numbers, this suggests that the CPI is, at least in these places, seriously underestimating the rise in costs facing Americans living at this “bare bones” level.  </w:t>
      </w:r>
    </w:p>
    <w:p w:rsidR="00B03DE9" w:rsidRPr="00054E92" w:rsidRDefault="0095177E" w:rsidP="00DB6B91">
      <w:pPr>
        <w:ind w:firstLine="720"/>
        <w:rPr>
          <w:rFonts w:cstheme="minorHAnsi"/>
          <w:sz w:val="24"/>
          <w:szCs w:val="24"/>
        </w:rPr>
      </w:pPr>
      <w:r w:rsidRPr="00054E92">
        <w:rPr>
          <w:rFonts w:cstheme="minorHAnsi"/>
          <w:sz w:val="24"/>
          <w:szCs w:val="24"/>
        </w:rPr>
        <w:t>A</w:t>
      </w:r>
      <w:r w:rsidR="00890694" w:rsidRPr="00054E92">
        <w:rPr>
          <w:rFonts w:cstheme="minorHAnsi"/>
          <w:sz w:val="24"/>
          <w:szCs w:val="24"/>
        </w:rPr>
        <w:t xml:space="preserve"> gap </w:t>
      </w:r>
      <w:r w:rsidRPr="00054E92">
        <w:rPr>
          <w:rFonts w:cstheme="minorHAnsi"/>
          <w:sz w:val="24"/>
          <w:szCs w:val="24"/>
        </w:rPr>
        <w:t xml:space="preserve">between </w:t>
      </w:r>
      <w:r w:rsidR="00EC4BD4" w:rsidRPr="00054E92">
        <w:rPr>
          <w:rFonts w:cstheme="minorHAnsi"/>
          <w:sz w:val="24"/>
          <w:szCs w:val="24"/>
        </w:rPr>
        <w:t xml:space="preserve">updating with </w:t>
      </w:r>
      <w:r w:rsidRPr="00054E92">
        <w:rPr>
          <w:rFonts w:cstheme="minorHAnsi"/>
          <w:sz w:val="24"/>
          <w:szCs w:val="24"/>
        </w:rPr>
        <w:t xml:space="preserve">the SSS </w:t>
      </w:r>
      <w:r w:rsidR="00EC4BD4" w:rsidRPr="00054E92">
        <w:rPr>
          <w:rFonts w:cstheme="minorHAnsi"/>
          <w:sz w:val="24"/>
          <w:szCs w:val="24"/>
        </w:rPr>
        <w:t>compared to</w:t>
      </w:r>
      <w:r w:rsidRPr="00054E92">
        <w:rPr>
          <w:rFonts w:cstheme="minorHAnsi"/>
          <w:sz w:val="24"/>
          <w:szCs w:val="24"/>
        </w:rPr>
        <w:t xml:space="preserve"> the CPI of</w:t>
      </w:r>
      <w:r w:rsidR="00890694" w:rsidRPr="00054E92">
        <w:rPr>
          <w:rFonts w:cstheme="minorHAnsi"/>
          <w:sz w:val="24"/>
          <w:szCs w:val="24"/>
        </w:rPr>
        <w:t xml:space="preserve"> even 2</w:t>
      </w:r>
      <w:r w:rsidR="00260AAB" w:rsidRPr="00054E92">
        <w:rPr>
          <w:rFonts w:cstheme="minorHAnsi"/>
          <w:sz w:val="24"/>
          <w:szCs w:val="24"/>
        </w:rPr>
        <w:t>%</w:t>
      </w:r>
      <w:r w:rsidR="00890694" w:rsidRPr="00054E92">
        <w:rPr>
          <w:rFonts w:cstheme="minorHAnsi"/>
          <w:sz w:val="24"/>
          <w:szCs w:val="24"/>
        </w:rPr>
        <w:t xml:space="preserve"> per year</w:t>
      </w:r>
      <w:r w:rsidRPr="00054E92">
        <w:rPr>
          <w:rFonts w:cstheme="minorHAnsi"/>
          <w:sz w:val="24"/>
          <w:szCs w:val="24"/>
        </w:rPr>
        <w:t xml:space="preserve"> </w:t>
      </w:r>
      <w:r w:rsidR="00890694" w:rsidRPr="00054E92">
        <w:rPr>
          <w:rFonts w:cstheme="minorHAnsi"/>
          <w:sz w:val="24"/>
          <w:szCs w:val="24"/>
        </w:rPr>
        <w:t xml:space="preserve">quickly adds up.  </w:t>
      </w:r>
      <w:r w:rsidR="000C2A86" w:rsidRPr="00054E92">
        <w:rPr>
          <w:rFonts w:cstheme="minorHAnsi"/>
          <w:sz w:val="24"/>
          <w:szCs w:val="24"/>
        </w:rPr>
        <w:t>This has an important but largely hidden impact on low income families, as</w:t>
      </w:r>
      <w:r w:rsidR="00B61A39" w:rsidRPr="00054E92">
        <w:rPr>
          <w:rFonts w:cstheme="minorHAnsi"/>
          <w:sz w:val="24"/>
          <w:szCs w:val="24"/>
        </w:rPr>
        <w:t xml:space="preserve"> many programs, </w:t>
      </w:r>
      <w:r w:rsidR="00231378" w:rsidRPr="00054E92">
        <w:rPr>
          <w:rFonts w:cstheme="minorHAnsi"/>
          <w:sz w:val="24"/>
          <w:szCs w:val="24"/>
        </w:rPr>
        <w:t xml:space="preserve">such as </w:t>
      </w:r>
      <w:r w:rsidR="00B61A39" w:rsidRPr="00054E92">
        <w:rPr>
          <w:rFonts w:cstheme="minorHAnsi"/>
          <w:sz w:val="24"/>
          <w:szCs w:val="24"/>
        </w:rPr>
        <w:t>income tax exemption</w:t>
      </w:r>
      <w:r w:rsidR="00231378" w:rsidRPr="00054E92">
        <w:rPr>
          <w:rFonts w:cstheme="minorHAnsi"/>
          <w:sz w:val="24"/>
          <w:szCs w:val="24"/>
        </w:rPr>
        <w:t>s, SNAP (food stamps) benefits and many others</w:t>
      </w:r>
      <w:r w:rsidRPr="00054E92">
        <w:rPr>
          <w:rFonts w:cstheme="minorHAnsi"/>
          <w:sz w:val="24"/>
          <w:szCs w:val="24"/>
        </w:rPr>
        <w:t xml:space="preserve">, </w:t>
      </w:r>
      <w:r w:rsidR="00231378" w:rsidRPr="00054E92">
        <w:rPr>
          <w:rFonts w:cstheme="minorHAnsi"/>
          <w:sz w:val="24"/>
          <w:szCs w:val="24"/>
        </w:rPr>
        <w:t>use the CPI to update</w:t>
      </w:r>
      <w:r w:rsidR="000C2A86" w:rsidRPr="00054E92">
        <w:rPr>
          <w:rFonts w:cstheme="minorHAnsi"/>
          <w:sz w:val="24"/>
          <w:szCs w:val="24"/>
        </w:rPr>
        <w:t xml:space="preserve"> the tax brackets or benefit amounts</w:t>
      </w:r>
      <w:r w:rsidR="00B61A39" w:rsidRPr="00054E92">
        <w:rPr>
          <w:rFonts w:cstheme="minorHAnsi"/>
          <w:sz w:val="24"/>
          <w:szCs w:val="24"/>
        </w:rPr>
        <w:t xml:space="preserve">. </w:t>
      </w:r>
      <w:r w:rsidR="000C2A86" w:rsidRPr="00054E92">
        <w:rPr>
          <w:rFonts w:cstheme="minorHAnsi"/>
          <w:sz w:val="24"/>
          <w:szCs w:val="24"/>
        </w:rPr>
        <w:t xml:space="preserve">Each year, and for almost all places, real costs </w:t>
      </w:r>
      <w:r w:rsidRPr="00054E92">
        <w:rPr>
          <w:rFonts w:cstheme="minorHAnsi"/>
          <w:sz w:val="24"/>
          <w:szCs w:val="24"/>
        </w:rPr>
        <w:t xml:space="preserve">of basic needs as measured by the Standard </w:t>
      </w:r>
      <w:r w:rsidR="000C2A86" w:rsidRPr="00054E92">
        <w:rPr>
          <w:rFonts w:cstheme="minorHAnsi"/>
          <w:sz w:val="24"/>
          <w:szCs w:val="24"/>
        </w:rPr>
        <w:t>are rising faster than the CPI</w:t>
      </w:r>
      <w:r w:rsidRPr="00054E92">
        <w:rPr>
          <w:rFonts w:cstheme="minorHAnsi"/>
          <w:sz w:val="24"/>
          <w:szCs w:val="24"/>
        </w:rPr>
        <w:t>-measured rate of inflation</w:t>
      </w:r>
      <w:r w:rsidR="000C2A86" w:rsidRPr="00054E92">
        <w:rPr>
          <w:rFonts w:cstheme="minorHAnsi"/>
          <w:sz w:val="24"/>
          <w:szCs w:val="24"/>
        </w:rPr>
        <w:t xml:space="preserve">, meaning that families are finding </w:t>
      </w:r>
      <w:r w:rsidR="00EC4BD4" w:rsidRPr="00054E92">
        <w:rPr>
          <w:rFonts w:cstheme="minorHAnsi"/>
          <w:sz w:val="24"/>
          <w:szCs w:val="24"/>
        </w:rPr>
        <w:t xml:space="preserve">not only their incomes, but </w:t>
      </w:r>
      <w:r w:rsidR="000C2A86" w:rsidRPr="00054E92">
        <w:rPr>
          <w:rFonts w:cstheme="minorHAnsi"/>
          <w:sz w:val="24"/>
          <w:szCs w:val="24"/>
        </w:rPr>
        <w:t>the aid they are receiving is not keeping up</w:t>
      </w:r>
      <w:r w:rsidR="00260AAB" w:rsidRPr="00054E92">
        <w:rPr>
          <w:rFonts w:cstheme="minorHAnsi"/>
          <w:sz w:val="24"/>
          <w:szCs w:val="24"/>
        </w:rPr>
        <w:t xml:space="preserve"> with real costs</w:t>
      </w:r>
      <w:r w:rsidR="000C2A86" w:rsidRPr="00054E92">
        <w:rPr>
          <w:rFonts w:cstheme="minorHAnsi"/>
          <w:sz w:val="24"/>
          <w:szCs w:val="24"/>
        </w:rPr>
        <w:t xml:space="preserve">, even when it is updated for “inflation”.  </w:t>
      </w:r>
      <w:r w:rsidR="00B61A39" w:rsidRPr="00054E92">
        <w:rPr>
          <w:rFonts w:cstheme="minorHAnsi"/>
          <w:sz w:val="24"/>
          <w:szCs w:val="24"/>
        </w:rPr>
        <w:t xml:space="preserve"> </w:t>
      </w:r>
    </w:p>
    <w:p w:rsidR="00B61A39" w:rsidRPr="00054E92" w:rsidRDefault="00B61A39" w:rsidP="00DB6B91">
      <w:pPr>
        <w:ind w:firstLine="720"/>
        <w:rPr>
          <w:rFonts w:cstheme="minorHAnsi"/>
          <w:sz w:val="24"/>
          <w:szCs w:val="24"/>
        </w:rPr>
      </w:pPr>
      <w:r w:rsidRPr="00054E92">
        <w:rPr>
          <w:rFonts w:cstheme="minorHAnsi"/>
          <w:sz w:val="24"/>
          <w:szCs w:val="24"/>
        </w:rPr>
        <w:t xml:space="preserve">There are several possible explanations for why the Standard is rising faster than the CPI.  One is the way in which the costs are calculated:  even though “basic needs budgets” are in theory “absolute” measures of poverty, </w:t>
      </w:r>
      <w:r w:rsidR="00EC4BD4" w:rsidRPr="00054E92">
        <w:rPr>
          <w:rFonts w:cstheme="minorHAnsi"/>
          <w:sz w:val="24"/>
          <w:szCs w:val="24"/>
        </w:rPr>
        <w:t xml:space="preserve">key components of </w:t>
      </w:r>
      <w:r w:rsidR="00231378" w:rsidRPr="00054E92">
        <w:rPr>
          <w:rFonts w:cstheme="minorHAnsi"/>
          <w:sz w:val="24"/>
          <w:szCs w:val="24"/>
        </w:rPr>
        <w:t xml:space="preserve">the Standard </w:t>
      </w:r>
      <w:r w:rsidR="00EC4BD4" w:rsidRPr="00054E92">
        <w:rPr>
          <w:rFonts w:cstheme="minorHAnsi"/>
          <w:sz w:val="24"/>
          <w:szCs w:val="24"/>
        </w:rPr>
        <w:t>are in actuality more accurately characterized as</w:t>
      </w:r>
      <w:r w:rsidR="00231378" w:rsidRPr="00054E92">
        <w:rPr>
          <w:rFonts w:cstheme="minorHAnsi"/>
          <w:sz w:val="24"/>
          <w:szCs w:val="24"/>
        </w:rPr>
        <w:t xml:space="preserve"> relative </w:t>
      </w:r>
      <w:r w:rsidR="00EC4BD4" w:rsidRPr="00054E92">
        <w:rPr>
          <w:rFonts w:cstheme="minorHAnsi"/>
          <w:sz w:val="24"/>
          <w:szCs w:val="24"/>
        </w:rPr>
        <w:t xml:space="preserve">than absolute </w:t>
      </w:r>
      <w:r w:rsidR="00231378" w:rsidRPr="00054E92">
        <w:rPr>
          <w:rFonts w:cstheme="minorHAnsi"/>
          <w:sz w:val="24"/>
          <w:szCs w:val="24"/>
        </w:rPr>
        <w:t>measure</w:t>
      </w:r>
      <w:r w:rsidR="00EC4BD4" w:rsidRPr="00054E92">
        <w:rPr>
          <w:rFonts w:cstheme="minorHAnsi"/>
          <w:sz w:val="24"/>
          <w:szCs w:val="24"/>
        </w:rPr>
        <w:t>s</w:t>
      </w:r>
      <w:r w:rsidR="00231378" w:rsidRPr="00054E92">
        <w:rPr>
          <w:rFonts w:cstheme="minorHAnsi"/>
          <w:sz w:val="24"/>
          <w:szCs w:val="24"/>
        </w:rPr>
        <w:t>.  B</w:t>
      </w:r>
      <w:r w:rsidRPr="00054E92">
        <w:rPr>
          <w:rFonts w:cstheme="minorHAnsi"/>
          <w:sz w:val="24"/>
          <w:szCs w:val="24"/>
        </w:rPr>
        <w:t>y using a combination of government-determined amounts (such as the Fair Market Rents, which are set at the 40</w:t>
      </w:r>
      <w:r w:rsidRPr="00054E92">
        <w:rPr>
          <w:rFonts w:cstheme="minorHAnsi"/>
          <w:sz w:val="24"/>
          <w:szCs w:val="24"/>
          <w:vertAlign w:val="superscript"/>
        </w:rPr>
        <w:t>th</w:t>
      </w:r>
      <w:r w:rsidRPr="00054E92">
        <w:rPr>
          <w:rFonts w:cstheme="minorHAnsi"/>
          <w:sz w:val="24"/>
          <w:szCs w:val="24"/>
        </w:rPr>
        <w:t xml:space="preserve"> percentile of housing and utility costs)</w:t>
      </w:r>
      <w:r w:rsidR="00C11798" w:rsidRPr="00054E92">
        <w:rPr>
          <w:rFonts w:cstheme="minorHAnsi"/>
          <w:sz w:val="24"/>
          <w:szCs w:val="24"/>
        </w:rPr>
        <w:t xml:space="preserve"> and consumer expenditure data, the Standard, like the SPM, </w:t>
      </w:r>
      <w:r w:rsidR="00EC4BD4" w:rsidRPr="00054E92">
        <w:rPr>
          <w:rFonts w:cstheme="minorHAnsi"/>
          <w:sz w:val="24"/>
          <w:szCs w:val="24"/>
        </w:rPr>
        <w:t>thus</w:t>
      </w:r>
      <w:r w:rsidR="003C319C" w:rsidRPr="00054E92">
        <w:rPr>
          <w:rFonts w:cstheme="minorHAnsi"/>
          <w:sz w:val="24"/>
          <w:szCs w:val="24"/>
        </w:rPr>
        <w:t xml:space="preserve"> </w:t>
      </w:r>
      <w:r w:rsidR="00C11798" w:rsidRPr="00054E92">
        <w:rPr>
          <w:rFonts w:cstheme="minorHAnsi"/>
          <w:sz w:val="24"/>
          <w:szCs w:val="24"/>
        </w:rPr>
        <w:t xml:space="preserve">reflects increases in living standards, not just inflation.  A second reason is that these </w:t>
      </w:r>
      <w:r w:rsidR="00C11798" w:rsidRPr="00054E92">
        <w:rPr>
          <w:rFonts w:cstheme="minorHAnsi"/>
          <w:sz w:val="24"/>
          <w:szCs w:val="24"/>
        </w:rPr>
        <w:lastRenderedPageBreak/>
        <w:t xml:space="preserve">basic costs are rising faster than other goods </w:t>
      </w:r>
      <w:r w:rsidR="008C679A" w:rsidRPr="00054E92">
        <w:rPr>
          <w:rFonts w:cstheme="minorHAnsi"/>
          <w:sz w:val="24"/>
          <w:szCs w:val="24"/>
        </w:rPr>
        <w:t xml:space="preserve">included </w:t>
      </w:r>
      <w:r w:rsidR="00C11798" w:rsidRPr="00054E92">
        <w:rPr>
          <w:rFonts w:cstheme="minorHAnsi"/>
          <w:sz w:val="24"/>
          <w:szCs w:val="24"/>
        </w:rPr>
        <w:t>in the CPI,</w:t>
      </w:r>
      <w:r w:rsidR="008C679A" w:rsidRPr="00054E92">
        <w:rPr>
          <w:rFonts w:cstheme="minorHAnsi"/>
          <w:sz w:val="24"/>
          <w:szCs w:val="24"/>
        </w:rPr>
        <w:t xml:space="preserve"> but not the Standard, as the CPI enc</w:t>
      </w:r>
      <w:r w:rsidR="00C11798" w:rsidRPr="00054E92">
        <w:rPr>
          <w:rFonts w:cstheme="minorHAnsi"/>
          <w:sz w:val="24"/>
          <w:szCs w:val="24"/>
        </w:rPr>
        <w:t xml:space="preserve">ompasses all goods and services purchased by </w:t>
      </w:r>
      <w:r w:rsidR="00EC4BD4" w:rsidRPr="00054E92">
        <w:rPr>
          <w:rFonts w:cstheme="minorHAnsi"/>
          <w:sz w:val="24"/>
          <w:szCs w:val="24"/>
        </w:rPr>
        <w:t xml:space="preserve">all </w:t>
      </w:r>
      <w:r w:rsidR="00C11798" w:rsidRPr="00054E92">
        <w:rPr>
          <w:rFonts w:cstheme="minorHAnsi"/>
          <w:sz w:val="24"/>
          <w:szCs w:val="24"/>
        </w:rPr>
        <w:t>consumers, and particularly reflects larger</w:t>
      </w:r>
      <w:r w:rsidR="00EC4BD4" w:rsidRPr="00054E92">
        <w:rPr>
          <w:rFonts w:cstheme="minorHAnsi"/>
          <w:sz w:val="24"/>
          <w:szCs w:val="24"/>
        </w:rPr>
        <w:t xml:space="preserve"> and/or </w:t>
      </w:r>
      <w:r w:rsidR="00C11798" w:rsidRPr="00054E92">
        <w:rPr>
          <w:rFonts w:cstheme="minorHAnsi"/>
          <w:sz w:val="24"/>
          <w:szCs w:val="24"/>
        </w:rPr>
        <w:t>more numerous purchases.  Some of these “luxury” goods, not included in the SSS but included in the CPI (such as computers, airplane tickets, and cell phon</w:t>
      </w:r>
      <w:r w:rsidR="004336E8" w:rsidRPr="00054E92">
        <w:rPr>
          <w:rFonts w:cstheme="minorHAnsi"/>
          <w:sz w:val="24"/>
          <w:szCs w:val="24"/>
        </w:rPr>
        <w:t xml:space="preserve">es) have seen their </w:t>
      </w:r>
      <w:r w:rsidR="003C319C" w:rsidRPr="00054E92">
        <w:rPr>
          <w:rFonts w:cstheme="minorHAnsi"/>
          <w:sz w:val="24"/>
          <w:szCs w:val="24"/>
        </w:rPr>
        <w:t xml:space="preserve">real </w:t>
      </w:r>
      <w:r w:rsidR="004336E8" w:rsidRPr="00054E92">
        <w:rPr>
          <w:rFonts w:cstheme="minorHAnsi"/>
          <w:sz w:val="24"/>
          <w:szCs w:val="24"/>
        </w:rPr>
        <w:t xml:space="preserve">prices </w:t>
      </w:r>
      <w:r w:rsidR="00EC4BD4" w:rsidRPr="00054E92">
        <w:rPr>
          <w:rFonts w:cstheme="minorHAnsi"/>
          <w:sz w:val="24"/>
          <w:szCs w:val="24"/>
        </w:rPr>
        <w:t xml:space="preserve">experience less inflation or even </w:t>
      </w:r>
      <w:r w:rsidR="004336E8" w:rsidRPr="00054E92">
        <w:rPr>
          <w:rFonts w:cstheme="minorHAnsi"/>
          <w:sz w:val="24"/>
          <w:szCs w:val="24"/>
        </w:rPr>
        <w:t>fall</w:t>
      </w:r>
      <w:r w:rsidR="008C679A" w:rsidRPr="00054E92">
        <w:rPr>
          <w:rFonts w:cstheme="minorHAnsi"/>
          <w:sz w:val="24"/>
          <w:szCs w:val="24"/>
        </w:rPr>
        <w:t xml:space="preserve"> due to deregulation, competition, or introduction of cheaper imported goods.</w:t>
      </w:r>
      <w:r w:rsidR="004336E8" w:rsidRPr="00054E92">
        <w:rPr>
          <w:rFonts w:cstheme="minorHAnsi"/>
          <w:sz w:val="24"/>
          <w:szCs w:val="24"/>
        </w:rPr>
        <w:t xml:space="preserve"> </w:t>
      </w:r>
      <w:r w:rsidR="00DC781F" w:rsidRPr="00054E92">
        <w:rPr>
          <w:rFonts w:cstheme="minorHAnsi"/>
          <w:sz w:val="24"/>
          <w:szCs w:val="24"/>
        </w:rPr>
        <w:t xml:space="preserve"> </w:t>
      </w:r>
    </w:p>
    <w:p w:rsidR="00DC781F" w:rsidRPr="00054E92" w:rsidRDefault="00DC781F" w:rsidP="00DB6B91">
      <w:pPr>
        <w:ind w:firstLine="720"/>
        <w:rPr>
          <w:rFonts w:cstheme="minorHAnsi"/>
          <w:sz w:val="24"/>
          <w:szCs w:val="24"/>
        </w:rPr>
      </w:pPr>
      <w:r w:rsidRPr="00054E92">
        <w:rPr>
          <w:rFonts w:cstheme="minorHAnsi"/>
          <w:sz w:val="24"/>
          <w:szCs w:val="24"/>
        </w:rPr>
        <w:t>Note that there is no consistent difference between metro and rural counties in each state</w:t>
      </w:r>
      <w:r w:rsidR="00EC4BD4" w:rsidRPr="00054E92">
        <w:rPr>
          <w:rFonts w:cstheme="minorHAnsi"/>
          <w:sz w:val="24"/>
          <w:szCs w:val="24"/>
        </w:rPr>
        <w:t>.</w:t>
      </w:r>
      <w:r w:rsidRPr="00054E92">
        <w:rPr>
          <w:rFonts w:cstheme="minorHAnsi"/>
          <w:sz w:val="24"/>
          <w:szCs w:val="24"/>
        </w:rPr>
        <w:t xml:space="preserve"> </w:t>
      </w:r>
      <w:r w:rsidR="00DB6B91">
        <w:rPr>
          <w:rFonts w:cstheme="minorHAnsi"/>
          <w:sz w:val="24"/>
          <w:szCs w:val="24"/>
        </w:rPr>
        <w:t>In</w:t>
      </w:r>
      <w:r w:rsidR="00EC4BD4" w:rsidRPr="00054E92">
        <w:rPr>
          <w:rFonts w:cstheme="minorHAnsi"/>
          <w:sz w:val="24"/>
          <w:szCs w:val="24"/>
        </w:rPr>
        <w:t xml:space="preserve"> five</w:t>
      </w:r>
      <w:r w:rsidRPr="00054E92">
        <w:rPr>
          <w:rFonts w:cstheme="minorHAnsi"/>
          <w:sz w:val="24"/>
          <w:szCs w:val="24"/>
        </w:rPr>
        <w:t xml:space="preserve"> </w:t>
      </w:r>
      <w:r w:rsidR="00DB6B91">
        <w:rPr>
          <w:rFonts w:cstheme="minorHAnsi"/>
          <w:sz w:val="24"/>
          <w:szCs w:val="24"/>
        </w:rPr>
        <w:t xml:space="preserve">of the seven states </w:t>
      </w:r>
      <w:r w:rsidR="00DB6B91" w:rsidRPr="00054E92">
        <w:rPr>
          <w:rFonts w:cstheme="minorHAnsi"/>
          <w:sz w:val="24"/>
          <w:szCs w:val="24"/>
        </w:rPr>
        <w:t xml:space="preserve">shown in Table </w:t>
      </w:r>
      <w:r w:rsidR="00DB6B91">
        <w:rPr>
          <w:rFonts w:cstheme="minorHAnsi"/>
          <w:sz w:val="24"/>
          <w:szCs w:val="24"/>
        </w:rPr>
        <w:t xml:space="preserve">1 </w:t>
      </w:r>
      <w:r w:rsidRPr="00054E92">
        <w:rPr>
          <w:rFonts w:cstheme="minorHAnsi"/>
          <w:sz w:val="24"/>
          <w:szCs w:val="24"/>
        </w:rPr>
        <w:t>the</w:t>
      </w:r>
      <w:r w:rsidR="00B14B81" w:rsidRPr="00054E92">
        <w:rPr>
          <w:rFonts w:cstheme="minorHAnsi"/>
          <w:sz w:val="24"/>
          <w:szCs w:val="24"/>
        </w:rPr>
        <w:t xml:space="preserve"> actual Standard increased faster over the time periods shown than the</w:t>
      </w:r>
      <w:r w:rsidRPr="00054E92">
        <w:rPr>
          <w:rFonts w:cstheme="minorHAnsi"/>
          <w:sz w:val="24"/>
          <w:szCs w:val="24"/>
        </w:rPr>
        <w:t xml:space="preserve"> CPI-updated Standard </w:t>
      </w:r>
      <w:r w:rsidR="00B14B81" w:rsidRPr="00054E92">
        <w:rPr>
          <w:rFonts w:cstheme="minorHAnsi"/>
          <w:sz w:val="24"/>
          <w:szCs w:val="24"/>
        </w:rPr>
        <w:t>in the metropolitan compared to the rural county</w:t>
      </w:r>
      <w:r w:rsidR="00DB6B91">
        <w:rPr>
          <w:rFonts w:cstheme="minorHAnsi"/>
          <w:sz w:val="24"/>
          <w:szCs w:val="24"/>
        </w:rPr>
        <w:t>;</w:t>
      </w:r>
      <w:r w:rsidR="00B14B81" w:rsidRPr="00054E92">
        <w:rPr>
          <w:rFonts w:cstheme="minorHAnsi"/>
          <w:sz w:val="24"/>
          <w:szCs w:val="24"/>
        </w:rPr>
        <w:t xml:space="preserve"> the exceptions of Ohio and Pennsylvania do not have a clear explanation why costs increased at a greater rate in rural areas.  </w:t>
      </w:r>
      <w:r w:rsidRPr="00054E92">
        <w:rPr>
          <w:rFonts w:cstheme="minorHAnsi"/>
          <w:sz w:val="24"/>
          <w:szCs w:val="24"/>
        </w:rPr>
        <w:t>The analysis was also done using all counties</w:t>
      </w:r>
      <w:r w:rsidR="00B14B81" w:rsidRPr="00054E92">
        <w:rPr>
          <w:rFonts w:cstheme="minorHAnsi"/>
          <w:sz w:val="24"/>
          <w:szCs w:val="24"/>
        </w:rPr>
        <w:t xml:space="preserve"> in each state</w:t>
      </w:r>
      <w:r w:rsidRPr="00054E92">
        <w:rPr>
          <w:rFonts w:cstheme="minorHAnsi"/>
          <w:sz w:val="24"/>
          <w:szCs w:val="24"/>
        </w:rPr>
        <w:t>, comparing metro and non</w:t>
      </w:r>
      <w:r w:rsidR="000C2A86" w:rsidRPr="00054E92">
        <w:rPr>
          <w:rFonts w:cstheme="minorHAnsi"/>
          <w:sz w:val="24"/>
          <w:szCs w:val="24"/>
        </w:rPr>
        <w:t>-</w:t>
      </w:r>
      <w:r w:rsidRPr="00054E92">
        <w:rPr>
          <w:rFonts w:cstheme="minorHAnsi"/>
          <w:sz w:val="24"/>
          <w:szCs w:val="24"/>
        </w:rPr>
        <w:t xml:space="preserve">metro </w:t>
      </w:r>
      <w:r w:rsidR="00B14B81" w:rsidRPr="00054E92">
        <w:rPr>
          <w:rFonts w:cstheme="minorHAnsi"/>
          <w:sz w:val="24"/>
          <w:szCs w:val="24"/>
        </w:rPr>
        <w:t xml:space="preserve">counties </w:t>
      </w:r>
      <w:r w:rsidRPr="00054E92">
        <w:rPr>
          <w:rFonts w:cstheme="minorHAnsi"/>
          <w:sz w:val="24"/>
          <w:szCs w:val="24"/>
        </w:rPr>
        <w:t>within each state, with t</w:t>
      </w:r>
      <w:r w:rsidR="00B14B81" w:rsidRPr="00054E92">
        <w:rPr>
          <w:rFonts w:cstheme="minorHAnsi"/>
          <w:sz w:val="24"/>
          <w:szCs w:val="24"/>
        </w:rPr>
        <w:t>he same results</w:t>
      </w:r>
      <w:r w:rsidR="0095177E" w:rsidRPr="00054E92">
        <w:rPr>
          <w:rFonts w:cstheme="minorHAnsi"/>
          <w:sz w:val="24"/>
          <w:szCs w:val="24"/>
        </w:rPr>
        <w:t xml:space="preserve"> </w:t>
      </w:r>
      <w:r w:rsidR="00B14B81" w:rsidRPr="00054E92">
        <w:rPr>
          <w:rFonts w:cstheme="minorHAnsi"/>
          <w:sz w:val="24"/>
          <w:szCs w:val="24"/>
        </w:rPr>
        <w:t>(</w:t>
      </w:r>
      <w:r w:rsidR="0095177E" w:rsidRPr="00054E92">
        <w:rPr>
          <w:rFonts w:cstheme="minorHAnsi"/>
          <w:sz w:val="24"/>
          <w:szCs w:val="24"/>
        </w:rPr>
        <w:t>data not shown</w:t>
      </w:r>
      <w:r w:rsidR="00DB6B91">
        <w:rPr>
          <w:rFonts w:cstheme="minorHAnsi"/>
          <w:sz w:val="24"/>
          <w:szCs w:val="24"/>
        </w:rPr>
        <w:t>)</w:t>
      </w:r>
      <w:r w:rsidRPr="00054E92">
        <w:rPr>
          <w:rFonts w:cstheme="minorHAnsi"/>
          <w:sz w:val="24"/>
          <w:szCs w:val="24"/>
        </w:rPr>
        <w:t xml:space="preserve">.  Analysis was also done for different family types, </w:t>
      </w:r>
      <w:r w:rsidR="00B14B81" w:rsidRPr="00054E92">
        <w:rPr>
          <w:rFonts w:cstheme="minorHAnsi"/>
          <w:sz w:val="24"/>
          <w:szCs w:val="24"/>
        </w:rPr>
        <w:t>which also did not</w:t>
      </w:r>
      <w:r w:rsidRPr="00054E92">
        <w:rPr>
          <w:rFonts w:cstheme="minorHAnsi"/>
          <w:sz w:val="24"/>
          <w:szCs w:val="24"/>
        </w:rPr>
        <w:t xml:space="preserve"> result in </w:t>
      </w:r>
      <w:r w:rsidR="00B14B81" w:rsidRPr="00054E92">
        <w:rPr>
          <w:rFonts w:cstheme="minorHAnsi"/>
          <w:sz w:val="24"/>
          <w:szCs w:val="24"/>
        </w:rPr>
        <w:t xml:space="preserve"> </w:t>
      </w:r>
      <w:r w:rsidRPr="00054E92">
        <w:rPr>
          <w:rFonts w:cstheme="minorHAnsi"/>
          <w:sz w:val="24"/>
          <w:szCs w:val="24"/>
        </w:rPr>
        <w:t xml:space="preserve"> consistent difference</w:t>
      </w:r>
      <w:r w:rsidR="00B14B81" w:rsidRPr="00054E92">
        <w:rPr>
          <w:rFonts w:cstheme="minorHAnsi"/>
          <w:sz w:val="24"/>
          <w:szCs w:val="24"/>
        </w:rPr>
        <w:t>s (</w:t>
      </w:r>
      <w:r w:rsidR="00C56E08" w:rsidRPr="00054E92">
        <w:rPr>
          <w:rFonts w:cstheme="minorHAnsi"/>
          <w:sz w:val="24"/>
          <w:szCs w:val="24"/>
        </w:rPr>
        <w:t xml:space="preserve">data </w:t>
      </w:r>
      <w:r w:rsidR="0095177E" w:rsidRPr="00054E92">
        <w:rPr>
          <w:rFonts w:cstheme="minorHAnsi"/>
          <w:sz w:val="24"/>
          <w:szCs w:val="24"/>
        </w:rPr>
        <w:t xml:space="preserve">also </w:t>
      </w:r>
      <w:r w:rsidR="00C56E08" w:rsidRPr="00054E92">
        <w:rPr>
          <w:rFonts w:cstheme="minorHAnsi"/>
          <w:sz w:val="24"/>
          <w:szCs w:val="24"/>
        </w:rPr>
        <w:t xml:space="preserve">not shown). </w:t>
      </w:r>
    </w:p>
    <w:p w:rsidR="00C56E08" w:rsidRPr="00054E92" w:rsidRDefault="00C56E08" w:rsidP="00DB6B91">
      <w:pPr>
        <w:ind w:firstLine="720"/>
        <w:rPr>
          <w:rFonts w:cstheme="minorHAnsi"/>
          <w:sz w:val="24"/>
          <w:szCs w:val="24"/>
        </w:rPr>
      </w:pPr>
      <w:r w:rsidRPr="00054E92">
        <w:rPr>
          <w:rFonts w:cstheme="minorHAnsi"/>
          <w:sz w:val="24"/>
          <w:szCs w:val="24"/>
        </w:rPr>
        <w:t>Analysis was also done of the components of the Standard, as to which costs are driving the increase in the Standard.  Not surpris</w:t>
      </w:r>
      <w:r w:rsidR="008D185D" w:rsidRPr="00054E92">
        <w:rPr>
          <w:rFonts w:cstheme="minorHAnsi"/>
          <w:sz w:val="24"/>
          <w:szCs w:val="24"/>
        </w:rPr>
        <w:t>ingly,</w:t>
      </w:r>
      <w:r w:rsidRPr="00054E92">
        <w:rPr>
          <w:rFonts w:cstheme="minorHAnsi"/>
          <w:sz w:val="24"/>
          <w:szCs w:val="24"/>
        </w:rPr>
        <w:t xml:space="preserve"> health care </w:t>
      </w:r>
      <w:r w:rsidR="008D185D" w:rsidRPr="00054E92">
        <w:rPr>
          <w:rFonts w:cstheme="minorHAnsi"/>
          <w:sz w:val="24"/>
          <w:szCs w:val="24"/>
        </w:rPr>
        <w:t xml:space="preserve">was the cost that increased the most, or second most, in every state except Montana </w:t>
      </w:r>
      <w:r w:rsidR="001D1AF8">
        <w:rPr>
          <w:rFonts w:cstheme="minorHAnsi"/>
          <w:sz w:val="24"/>
          <w:szCs w:val="24"/>
        </w:rPr>
        <w:t xml:space="preserve">and non-metro New York </w:t>
      </w:r>
      <w:r w:rsidR="008D185D" w:rsidRPr="00054E92">
        <w:rPr>
          <w:rFonts w:cstheme="minorHAnsi"/>
          <w:sz w:val="24"/>
          <w:szCs w:val="24"/>
        </w:rPr>
        <w:t xml:space="preserve">(see Table 2), with child care and housing being </w:t>
      </w:r>
      <w:r w:rsidR="001D1AF8">
        <w:rPr>
          <w:rFonts w:cstheme="minorHAnsi"/>
          <w:sz w:val="24"/>
          <w:szCs w:val="24"/>
        </w:rPr>
        <w:t>the next most expensive</w:t>
      </w:r>
      <w:r w:rsidR="008D185D" w:rsidRPr="00054E92">
        <w:rPr>
          <w:rFonts w:cstheme="minorHAnsi"/>
          <w:sz w:val="24"/>
          <w:szCs w:val="24"/>
        </w:rPr>
        <w:t xml:space="preserve"> in most states.  Food also increased</w:t>
      </w:r>
      <w:r w:rsidR="00543F7B" w:rsidRPr="00054E92">
        <w:rPr>
          <w:rFonts w:cstheme="minorHAnsi"/>
          <w:sz w:val="24"/>
          <w:szCs w:val="24"/>
        </w:rPr>
        <w:t xml:space="preserve"> considerably</w:t>
      </w:r>
      <w:r w:rsidR="008D185D" w:rsidRPr="00054E92">
        <w:rPr>
          <w:rFonts w:cstheme="minorHAnsi"/>
          <w:sz w:val="24"/>
          <w:szCs w:val="24"/>
        </w:rPr>
        <w:t>, but this is in part due to a change in methodology, as more geographically specific data became available and was incorporated into the methodology.  Perhaps most surprising, taxes hardly increased at all, while tax credits increased substantially, in every state except California.</w:t>
      </w:r>
      <w:r w:rsidR="005A4689" w:rsidRPr="00054E92">
        <w:rPr>
          <w:rFonts w:cstheme="minorHAnsi"/>
          <w:sz w:val="24"/>
          <w:szCs w:val="24"/>
        </w:rPr>
        <w:t xml:space="preserve">  </w:t>
      </w:r>
    </w:p>
    <w:p w:rsidR="0080526B" w:rsidRPr="00054E92" w:rsidRDefault="0080526B" w:rsidP="00DB6B91">
      <w:pPr>
        <w:ind w:firstLine="720"/>
        <w:rPr>
          <w:rFonts w:cstheme="minorHAnsi"/>
          <w:sz w:val="24"/>
          <w:szCs w:val="24"/>
        </w:rPr>
      </w:pPr>
      <w:r w:rsidRPr="00054E92">
        <w:rPr>
          <w:rFonts w:cstheme="minorHAnsi"/>
          <w:sz w:val="24"/>
          <w:szCs w:val="24"/>
        </w:rPr>
        <w:t>While there is some variation</w:t>
      </w:r>
      <w:r w:rsidR="001D1AF8">
        <w:rPr>
          <w:rFonts w:cstheme="minorHAnsi"/>
          <w:sz w:val="24"/>
          <w:szCs w:val="24"/>
        </w:rPr>
        <w:t xml:space="preserve"> across states</w:t>
      </w:r>
      <w:r w:rsidRPr="00054E92">
        <w:rPr>
          <w:rFonts w:cstheme="minorHAnsi"/>
          <w:sz w:val="24"/>
          <w:szCs w:val="24"/>
        </w:rPr>
        <w:t xml:space="preserve">, typically earnings are not </w:t>
      </w:r>
      <w:r w:rsidR="001D1AF8">
        <w:rPr>
          <w:rFonts w:cstheme="minorHAnsi"/>
          <w:sz w:val="24"/>
          <w:szCs w:val="24"/>
        </w:rPr>
        <w:t>keeping pace with</w:t>
      </w:r>
      <w:r w:rsidRPr="00054E92">
        <w:rPr>
          <w:rFonts w:cstheme="minorHAnsi"/>
          <w:sz w:val="24"/>
          <w:szCs w:val="24"/>
        </w:rPr>
        <w:t xml:space="preserve"> costs.  For example, in Washington State, </w:t>
      </w:r>
      <w:r w:rsidR="001D1AF8">
        <w:rPr>
          <w:rFonts w:cstheme="minorHAnsi"/>
          <w:sz w:val="24"/>
          <w:szCs w:val="24"/>
        </w:rPr>
        <w:t xml:space="preserve">statewide </w:t>
      </w:r>
      <w:r w:rsidRPr="00054E92">
        <w:rPr>
          <w:rFonts w:cstheme="minorHAnsi"/>
          <w:sz w:val="24"/>
          <w:szCs w:val="24"/>
        </w:rPr>
        <w:t>median earnings rose 21% while the median Standard rose 37% over the last decade</w:t>
      </w:r>
      <w:r w:rsidR="001D1AF8">
        <w:rPr>
          <w:rFonts w:cstheme="minorHAnsi"/>
          <w:sz w:val="24"/>
          <w:szCs w:val="24"/>
        </w:rPr>
        <w:t xml:space="preserve"> (2001-2011)</w:t>
      </w:r>
      <w:r w:rsidRPr="00054E92">
        <w:rPr>
          <w:rFonts w:cstheme="minorHAnsi"/>
          <w:sz w:val="24"/>
          <w:szCs w:val="24"/>
        </w:rPr>
        <w:t xml:space="preserve"> (Pearce, 2011).  </w:t>
      </w:r>
    </w:p>
    <w:p w:rsidR="005F1A2B" w:rsidRPr="00054E92" w:rsidRDefault="005F1A2B" w:rsidP="001D1AF8">
      <w:pPr>
        <w:pStyle w:val="ListParagraph"/>
        <w:numPr>
          <w:ilvl w:val="0"/>
          <w:numId w:val="8"/>
        </w:numPr>
        <w:rPr>
          <w:rFonts w:cstheme="minorHAnsi"/>
          <w:b/>
          <w:sz w:val="24"/>
          <w:szCs w:val="24"/>
        </w:rPr>
      </w:pPr>
      <w:r w:rsidRPr="00054E92">
        <w:rPr>
          <w:rFonts w:cstheme="minorHAnsi"/>
          <w:b/>
          <w:sz w:val="24"/>
          <w:szCs w:val="24"/>
        </w:rPr>
        <w:t>How Using the Standard Changes the Level and Incidence of Poverty/Income Inadequacy</w:t>
      </w:r>
    </w:p>
    <w:p w:rsidR="00AA2B46" w:rsidRPr="00054E92" w:rsidRDefault="007B31E1" w:rsidP="00DB6B91">
      <w:pPr>
        <w:ind w:firstLine="720"/>
        <w:rPr>
          <w:rFonts w:cstheme="minorHAnsi"/>
          <w:sz w:val="24"/>
          <w:szCs w:val="24"/>
        </w:rPr>
      </w:pPr>
      <w:r w:rsidRPr="00054E92">
        <w:rPr>
          <w:rFonts w:cstheme="minorHAnsi"/>
          <w:sz w:val="24"/>
          <w:szCs w:val="24"/>
        </w:rPr>
        <w:t xml:space="preserve">Using the Standard as a measure of income adequacy, </w:t>
      </w:r>
      <w:r w:rsidR="00D975E7" w:rsidRPr="00054E92">
        <w:rPr>
          <w:rFonts w:cstheme="minorHAnsi"/>
          <w:sz w:val="24"/>
          <w:szCs w:val="24"/>
        </w:rPr>
        <w:t xml:space="preserve">and the FPL as a measure of poverty, </w:t>
      </w:r>
      <w:r w:rsidRPr="00054E92">
        <w:rPr>
          <w:rFonts w:cstheme="minorHAnsi"/>
          <w:sz w:val="24"/>
          <w:szCs w:val="24"/>
        </w:rPr>
        <w:t xml:space="preserve">the level and distribution </w:t>
      </w:r>
      <w:r w:rsidR="00543F7B" w:rsidRPr="00054E92">
        <w:rPr>
          <w:rFonts w:cstheme="minorHAnsi"/>
          <w:sz w:val="24"/>
          <w:szCs w:val="24"/>
        </w:rPr>
        <w:t>of</w:t>
      </w:r>
      <w:r w:rsidR="00D975E7" w:rsidRPr="00054E92">
        <w:rPr>
          <w:rFonts w:cstheme="minorHAnsi"/>
          <w:sz w:val="24"/>
          <w:szCs w:val="24"/>
        </w:rPr>
        <w:t xml:space="preserve"> income inadequacy/poverty</w:t>
      </w:r>
      <w:r w:rsidR="00543F7B" w:rsidRPr="00054E92">
        <w:rPr>
          <w:rFonts w:cstheme="minorHAnsi"/>
          <w:sz w:val="24"/>
          <w:szCs w:val="24"/>
        </w:rPr>
        <w:t xml:space="preserve"> </w:t>
      </w:r>
      <w:r w:rsidRPr="00054E92">
        <w:rPr>
          <w:rFonts w:cstheme="minorHAnsi"/>
          <w:sz w:val="24"/>
          <w:szCs w:val="24"/>
        </w:rPr>
        <w:t>in seven states</w:t>
      </w:r>
      <w:r w:rsidR="00C47F7A" w:rsidRPr="00054E92">
        <w:rPr>
          <w:rFonts w:cstheme="minorHAnsi"/>
          <w:sz w:val="24"/>
          <w:szCs w:val="24"/>
        </w:rPr>
        <w:t xml:space="preserve"> has been analyzed</w:t>
      </w:r>
      <w:r w:rsidR="00AA2B46" w:rsidRPr="00054E92">
        <w:rPr>
          <w:rFonts w:cstheme="minorHAnsi"/>
          <w:sz w:val="24"/>
          <w:szCs w:val="24"/>
        </w:rPr>
        <w:t xml:space="preserve"> (see </w:t>
      </w:r>
      <w:r w:rsidR="00FC322B" w:rsidRPr="00054E92">
        <w:rPr>
          <w:rFonts w:cstheme="minorHAnsi"/>
          <w:sz w:val="24"/>
          <w:szCs w:val="24"/>
        </w:rPr>
        <w:t>Chart #1</w:t>
      </w:r>
      <w:r w:rsidR="00AA2B46" w:rsidRPr="00054E92">
        <w:rPr>
          <w:rFonts w:cstheme="minorHAnsi"/>
          <w:sz w:val="24"/>
          <w:szCs w:val="24"/>
        </w:rPr>
        <w:t>)</w:t>
      </w:r>
      <w:r w:rsidRPr="00054E92">
        <w:rPr>
          <w:rFonts w:cstheme="minorHAnsi"/>
          <w:sz w:val="24"/>
          <w:szCs w:val="24"/>
        </w:rPr>
        <w:t>.</w:t>
      </w:r>
      <w:r w:rsidR="00C47F7A" w:rsidRPr="00054E92">
        <w:rPr>
          <w:rStyle w:val="FootnoteReference"/>
          <w:rFonts w:cstheme="minorHAnsi"/>
          <w:sz w:val="24"/>
          <w:szCs w:val="24"/>
        </w:rPr>
        <w:footnoteReference w:id="8"/>
      </w:r>
      <w:r w:rsidRPr="00054E92">
        <w:rPr>
          <w:rFonts w:cstheme="minorHAnsi"/>
          <w:sz w:val="24"/>
          <w:szCs w:val="24"/>
        </w:rPr>
        <w:t xml:space="preserve">  To do this, </w:t>
      </w:r>
      <w:r w:rsidR="00B14B81" w:rsidRPr="00054E92">
        <w:rPr>
          <w:rFonts w:cstheme="minorHAnsi"/>
          <w:sz w:val="24"/>
          <w:szCs w:val="24"/>
        </w:rPr>
        <w:t xml:space="preserve">each household in the </w:t>
      </w:r>
      <w:r w:rsidRPr="00054E92">
        <w:rPr>
          <w:rFonts w:cstheme="minorHAnsi"/>
          <w:sz w:val="24"/>
          <w:szCs w:val="24"/>
        </w:rPr>
        <w:t xml:space="preserve">Census 2000 or </w:t>
      </w:r>
      <w:r w:rsidR="003A5EB8" w:rsidRPr="00054E92">
        <w:rPr>
          <w:rFonts w:cstheme="minorHAnsi"/>
          <w:sz w:val="24"/>
          <w:szCs w:val="24"/>
        </w:rPr>
        <w:t>ACS data</w:t>
      </w:r>
      <w:r w:rsidR="00B14B81" w:rsidRPr="00054E92">
        <w:rPr>
          <w:rFonts w:cstheme="minorHAnsi"/>
          <w:sz w:val="24"/>
          <w:szCs w:val="24"/>
        </w:rPr>
        <w:t>set used was coded</w:t>
      </w:r>
      <w:r w:rsidR="003A5EB8" w:rsidRPr="00054E92">
        <w:rPr>
          <w:rFonts w:cstheme="minorHAnsi"/>
          <w:sz w:val="24"/>
          <w:szCs w:val="24"/>
        </w:rPr>
        <w:t xml:space="preserve"> with its appropriate Standard, based on family composition (number of adults and number and age of children) and residence.  Households headed by elderly and/or disabled adults were excluded as the Standard was not intended to be applied to households in which the adults are not able or expected to be in the labor force.  Poverty rates were also calculated </w:t>
      </w:r>
      <w:r w:rsidR="003A5EB8" w:rsidRPr="00054E92">
        <w:rPr>
          <w:rFonts w:cstheme="minorHAnsi"/>
          <w:sz w:val="24"/>
          <w:szCs w:val="24"/>
        </w:rPr>
        <w:lastRenderedPageBreak/>
        <w:t xml:space="preserve">for the same population.  </w:t>
      </w:r>
      <w:r w:rsidR="00044222" w:rsidRPr="00054E92">
        <w:rPr>
          <w:rFonts w:cstheme="minorHAnsi"/>
          <w:sz w:val="24"/>
          <w:szCs w:val="24"/>
        </w:rPr>
        <w:t xml:space="preserve">Since </w:t>
      </w:r>
      <w:r w:rsidR="006D0DB6" w:rsidRPr="00054E92">
        <w:rPr>
          <w:rFonts w:cstheme="minorHAnsi"/>
          <w:sz w:val="24"/>
          <w:szCs w:val="24"/>
        </w:rPr>
        <w:t xml:space="preserve">no Standard has ever been as low as the </w:t>
      </w:r>
      <w:r w:rsidR="00044222" w:rsidRPr="00054E92">
        <w:rPr>
          <w:rFonts w:cstheme="minorHAnsi"/>
          <w:sz w:val="24"/>
          <w:szCs w:val="24"/>
        </w:rPr>
        <w:t>comparable</w:t>
      </w:r>
      <w:r w:rsidR="00D975E7" w:rsidRPr="00054E92">
        <w:rPr>
          <w:rFonts w:cstheme="minorHAnsi"/>
          <w:sz w:val="24"/>
          <w:szCs w:val="24"/>
        </w:rPr>
        <w:t xml:space="preserve"> </w:t>
      </w:r>
      <w:r w:rsidR="00044222" w:rsidRPr="00054E92">
        <w:rPr>
          <w:rFonts w:cstheme="minorHAnsi"/>
          <w:sz w:val="24"/>
          <w:szCs w:val="24"/>
        </w:rPr>
        <w:t>FPL</w:t>
      </w:r>
      <w:r w:rsidR="006D0DB6" w:rsidRPr="00054E92">
        <w:rPr>
          <w:rFonts w:cstheme="minorHAnsi"/>
          <w:sz w:val="24"/>
          <w:szCs w:val="24"/>
        </w:rPr>
        <w:t xml:space="preserve"> threshold, </w:t>
      </w:r>
      <w:r w:rsidR="00044222" w:rsidRPr="00054E92">
        <w:rPr>
          <w:rFonts w:cstheme="minorHAnsi"/>
          <w:sz w:val="24"/>
          <w:szCs w:val="24"/>
        </w:rPr>
        <w:t>with the ration ranging from a low of about 150% of the FPL to over 400% of the FPL (depending on the number and age of children, and the place),</w:t>
      </w:r>
      <w:r w:rsidR="006D0DB6" w:rsidRPr="00054E92">
        <w:rPr>
          <w:rFonts w:cstheme="minorHAnsi"/>
          <w:sz w:val="24"/>
          <w:szCs w:val="24"/>
        </w:rPr>
        <w:t xml:space="preserve"> one would expect that the proportion of households below the Standard would be higher than the poverty level, but the ratio varies considerably, as shown</w:t>
      </w:r>
      <w:r w:rsidR="00044222" w:rsidRPr="00054E92">
        <w:rPr>
          <w:rFonts w:cstheme="minorHAnsi"/>
          <w:sz w:val="24"/>
          <w:szCs w:val="24"/>
        </w:rPr>
        <w:t xml:space="preserve"> in Chart 1</w:t>
      </w:r>
      <w:r w:rsidR="006D0DB6" w:rsidRPr="00054E92">
        <w:rPr>
          <w:rFonts w:cstheme="minorHAnsi"/>
          <w:sz w:val="24"/>
          <w:szCs w:val="24"/>
        </w:rPr>
        <w:t xml:space="preserve">.  </w:t>
      </w:r>
      <w:r w:rsidR="00044222" w:rsidRPr="00054E92">
        <w:rPr>
          <w:rFonts w:cstheme="minorHAnsi"/>
          <w:sz w:val="24"/>
          <w:szCs w:val="24"/>
        </w:rPr>
        <w:t>In fact the ratio of the percentage of households with income below the Standard to the percentage with incomes below the FPL ranges from 1.8 (Mississippi) to 3.3 (California). In other words, in Mississippi, the number of households with inadequate income as measured by the Standard is not quite double the number below the poverty level, while in California the number of households with income below the Standard is over three times as many as are deemed poor by the FPL.</w:t>
      </w:r>
    </w:p>
    <w:p w:rsidR="000D387C" w:rsidRPr="00054E92" w:rsidRDefault="006D0DB6" w:rsidP="00DB6B91">
      <w:pPr>
        <w:ind w:firstLine="720"/>
        <w:rPr>
          <w:rFonts w:cstheme="minorHAnsi"/>
          <w:sz w:val="24"/>
          <w:szCs w:val="24"/>
        </w:rPr>
      </w:pPr>
      <w:r w:rsidRPr="00054E92">
        <w:rPr>
          <w:rFonts w:cstheme="minorHAnsi"/>
          <w:sz w:val="24"/>
          <w:szCs w:val="24"/>
        </w:rPr>
        <w:t>Perhaps the most surprising result among these seven states is that the rate of income insufficiency is virtually the same in Mississi</w:t>
      </w:r>
      <w:r w:rsidR="000D387C" w:rsidRPr="00054E92">
        <w:rPr>
          <w:rFonts w:cstheme="minorHAnsi"/>
          <w:sz w:val="24"/>
          <w:szCs w:val="24"/>
        </w:rPr>
        <w:t xml:space="preserve">ppi as in California.  That is, when </w:t>
      </w:r>
      <w:r w:rsidR="00C47F7A" w:rsidRPr="00054E92">
        <w:rPr>
          <w:rFonts w:cstheme="minorHAnsi"/>
          <w:sz w:val="24"/>
          <w:szCs w:val="24"/>
        </w:rPr>
        <w:t>the cost of living is controlled for</w:t>
      </w:r>
      <w:r w:rsidR="000D387C" w:rsidRPr="00054E92">
        <w:rPr>
          <w:rFonts w:cstheme="minorHAnsi"/>
          <w:sz w:val="24"/>
          <w:szCs w:val="24"/>
        </w:rPr>
        <w:t xml:space="preserve">, there </w:t>
      </w:r>
      <w:r w:rsidR="00044222" w:rsidRPr="00054E92">
        <w:rPr>
          <w:rFonts w:cstheme="minorHAnsi"/>
          <w:sz w:val="24"/>
          <w:szCs w:val="24"/>
        </w:rPr>
        <w:t>is</w:t>
      </w:r>
      <w:r w:rsidR="000D387C" w:rsidRPr="00054E92">
        <w:rPr>
          <w:rFonts w:cstheme="minorHAnsi"/>
          <w:sz w:val="24"/>
          <w:szCs w:val="24"/>
        </w:rPr>
        <w:t xml:space="preserve"> almost the same proportion of households with inadequate income in California as in Mississippi.  While the poverty of Mississippi is well known, most observers have not seen California as equally impoverished, but these data suggest that this is true.  </w:t>
      </w:r>
    </w:p>
    <w:p w:rsidR="005F1A2B" w:rsidRPr="00054E92" w:rsidRDefault="005F1A2B" w:rsidP="00DB6B91">
      <w:pPr>
        <w:pStyle w:val="ListParagraph"/>
        <w:numPr>
          <w:ilvl w:val="0"/>
          <w:numId w:val="8"/>
        </w:numPr>
        <w:rPr>
          <w:rFonts w:cstheme="minorHAnsi"/>
          <w:b/>
          <w:sz w:val="24"/>
          <w:szCs w:val="24"/>
        </w:rPr>
      </w:pPr>
      <w:r w:rsidRPr="00054E92">
        <w:rPr>
          <w:rFonts w:cstheme="minorHAnsi"/>
          <w:b/>
          <w:sz w:val="24"/>
          <w:szCs w:val="24"/>
        </w:rPr>
        <w:t>The shifting burden of poverty/income inadequacy: an examin</w:t>
      </w:r>
      <w:r w:rsidR="003C319C" w:rsidRPr="00054E92">
        <w:rPr>
          <w:rFonts w:cstheme="minorHAnsi"/>
          <w:b/>
          <w:sz w:val="24"/>
          <w:szCs w:val="24"/>
        </w:rPr>
        <w:t>ation of race/ethnicity, gender</w:t>
      </w:r>
      <w:r w:rsidRPr="00054E92">
        <w:rPr>
          <w:rFonts w:cstheme="minorHAnsi"/>
          <w:b/>
          <w:sz w:val="24"/>
          <w:szCs w:val="24"/>
        </w:rPr>
        <w:t xml:space="preserve"> and work effort across seven states</w:t>
      </w:r>
    </w:p>
    <w:p w:rsidR="002C1B9E" w:rsidRPr="00054E92" w:rsidRDefault="0050454C" w:rsidP="00DB6B91">
      <w:pPr>
        <w:ind w:firstLine="720"/>
        <w:rPr>
          <w:rFonts w:cstheme="minorHAnsi"/>
          <w:sz w:val="24"/>
          <w:szCs w:val="24"/>
        </w:rPr>
      </w:pPr>
      <w:r w:rsidRPr="00054E92">
        <w:rPr>
          <w:rFonts w:cstheme="minorHAnsi"/>
          <w:sz w:val="24"/>
          <w:szCs w:val="24"/>
        </w:rPr>
        <w:t xml:space="preserve">An obvious explanation </w:t>
      </w:r>
      <w:r w:rsidR="005F1A2B" w:rsidRPr="00054E92">
        <w:rPr>
          <w:rFonts w:cstheme="minorHAnsi"/>
          <w:sz w:val="24"/>
          <w:szCs w:val="24"/>
        </w:rPr>
        <w:t>for the high levels of income in</w:t>
      </w:r>
      <w:r w:rsidRPr="00054E92">
        <w:rPr>
          <w:rFonts w:cstheme="minorHAnsi"/>
          <w:sz w:val="24"/>
          <w:szCs w:val="24"/>
        </w:rPr>
        <w:t>suffi</w:t>
      </w:r>
      <w:r w:rsidR="005F1A2B" w:rsidRPr="00054E92">
        <w:rPr>
          <w:rFonts w:cstheme="minorHAnsi"/>
          <w:sz w:val="24"/>
          <w:szCs w:val="24"/>
        </w:rPr>
        <w:t>ciency</w:t>
      </w:r>
      <w:r w:rsidRPr="00054E92">
        <w:rPr>
          <w:rFonts w:cstheme="minorHAnsi"/>
          <w:sz w:val="24"/>
          <w:szCs w:val="24"/>
        </w:rPr>
        <w:t xml:space="preserve"> in California and Mississippi is that these numbers reflect the higher levels of income inadequacy among people of color, particularly African Americans in Mississippi and Latin</w:t>
      </w:r>
      <w:r w:rsidR="00FC322B" w:rsidRPr="00054E92">
        <w:rPr>
          <w:rFonts w:cstheme="minorHAnsi"/>
          <w:sz w:val="24"/>
          <w:szCs w:val="24"/>
        </w:rPr>
        <w:t xml:space="preserve">os in California.  In Table 3, </w:t>
      </w:r>
      <w:r w:rsidRPr="00054E92">
        <w:rPr>
          <w:rFonts w:cstheme="minorHAnsi"/>
          <w:sz w:val="24"/>
          <w:szCs w:val="24"/>
        </w:rPr>
        <w:t>the rates of income insufficiency (that is, the proportion of households with incomes below their Self-Sufficiency Standard)</w:t>
      </w:r>
      <w:r w:rsidR="007519E8" w:rsidRPr="00054E92">
        <w:rPr>
          <w:rFonts w:cstheme="minorHAnsi"/>
          <w:sz w:val="24"/>
          <w:szCs w:val="24"/>
        </w:rPr>
        <w:t xml:space="preserve"> by race/ethnicity</w:t>
      </w:r>
      <w:r w:rsidR="00C47F7A" w:rsidRPr="00054E92">
        <w:rPr>
          <w:rFonts w:cstheme="minorHAnsi"/>
          <w:sz w:val="24"/>
          <w:szCs w:val="24"/>
        </w:rPr>
        <w:t xml:space="preserve"> is shown for these seven states</w:t>
      </w:r>
      <w:r w:rsidR="007519E8" w:rsidRPr="00054E92">
        <w:rPr>
          <w:rFonts w:cstheme="minorHAnsi"/>
          <w:sz w:val="24"/>
          <w:szCs w:val="24"/>
        </w:rPr>
        <w:t xml:space="preserve">. The groups shown are mutually exclusive, i.e., whites are non-Hispanic whites, etc.  </w:t>
      </w:r>
    </w:p>
    <w:p w:rsidR="005974C6" w:rsidRPr="00054E92" w:rsidRDefault="002C1B9E" w:rsidP="00DB6B91">
      <w:pPr>
        <w:ind w:firstLine="720"/>
        <w:rPr>
          <w:rFonts w:cstheme="minorHAnsi"/>
          <w:sz w:val="24"/>
          <w:szCs w:val="24"/>
        </w:rPr>
      </w:pPr>
      <w:r w:rsidRPr="00054E92">
        <w:rPr>
          <w:rFonts w:cstheme="minorHAnsi"/>
          <w:sz w:val="24"/>
          <w:szCs w:val="24"/>
        </w:rPr>
        <w:t xml:space="preserve">In most states, </w:t>
      </w:r>
      <w:r w:rsidR="00044222" w:rsidRPr="00054E92">
        <w:rPr>
          <w:rFonts w:cstheme="minorHAnsi"/>
          <w:sz w:val="24"/>
          <w:szCs w:val="24"/>
        </w:rPr>
        <w:t xml:space="preserve">FPL </w:t>
      </w:r>
      <w:r w:rsidR="005F39E6" w:rsidRPr="00054E92">
        <w:rPr>
          <w:rFonts w:cstheme="minorHAnsi"/>
          <w:sz w:val="24"/>
          <w:szCs w:val="24"/>
        </w:rPr>
        <w:t>poverty</w:t>
      </w:r>
      <w:r w:rsidRPr="00054E92">
        <w:rPr>
          <w:rFonts w:cstheme="minorHAnsi"/>
          <w:sz w:val="24"/>
          <w:szCs w:val="24"/>
        </w:rPr>
        <w:t xml:space="preserve"> rates are higher </w:t>
      </w:r>
      <w:r w:rsidR="00306660" w:rsidRPr="00054E92">
        <w:rPr>
          <w:rFonts w:cstheme="minorHAnsi"/>
          <w:sz w:val="24"/>
          <w:szCs w:val="24"/>
        </w:rPr>
        <w:t xml:space="preserve">or very similar </w:t>
      </w:r>
      <w:r w:rsidRPr="00054E92">
        <w:rPr>
          <w:rFonts w:cstheme="minorHAnsi"/>
          <w:sz w:val="24"/>
          <w:szCs w:val="24"/>
        </w:rPr>
        <w:t xml:space="preserve">for </w:t>
      </w:r>
      <w:r w:rsidR="005F39E6" w:rsidRPr="00054E92">
        <w:rPr>
          <w:rFonts w:cstheme="minorHAnsi"/>
          <w:sz w:val="24"/>
          <w:szCs w:val="24"/>
        </w:rPr>
        <w:t xml:space="preserve">African Americans </w:t>
      </w:r>
      <w:r w:rsidR="00306660" w:rsidRPr="00054E92">
        <w:rPr>
          <w:rFonts w:cstheme="minorHAnsi"/>
          <w:sz w:val="24"/>
          <w:szCs w:val="24"/>
        </w:rPr>
        <w:t>compared to those for</w:t>
      </w:r>
      <w:r w:rsidR="005F39E6" w:rsidRPr="00054E92">
        <w:rPr>
          <w:rFonts w:cstheme="minorHAnsi"/>
          <w:sz w:val="24"/>
          <w:szCs w:val="24"/>
        </w:rPr>
        <w:t xml:space="preserve"> </w:t>
      </w:r>
      <w:r w:rsidR="00306660" w:rsidRPr="00054E92">
        <w:rPr>
          <w:rFonts w:cstheme="minorHAnsi"/>
          <w:sz w:val="24"/>
          <w:szCs w:val="24"/>
        </w:rPr>
        <w:t>Latinos</w:t>
      </w:r>
      <w:r w:rsidR="005F39E6" w:rsidRPr="00054E92">
        <w:rPr>
          <w:rFonts w:cstheme="minorHAnsi"/>
          <w:sz w:val="24"/>
          <w:szCs w:val="24"/>
        </w:rPr>
        <w:t xml:space="preserve">. However, in </w:t>
      </w:r>
      <w:r w:rsidR="00373265" w:rsidRPr="00054E92">
        <w:rPr>
          <w:rFonts w:cstheme="minorHAnsi"/>
          <w:sz w:val="24"/>
          <w:szCs w:val="24"/>
        </w:rPr>
        <w:t>all but one</w:t>
      </w:r>
      <w:r w:rsidR="0043463D" w:rsidRPr="00054E92">
        <w:rPr>
          <w:rFonts w:cstheme="minorHAnsi"/>
          <w:sz w:val="24"/>
          <w:szCs w:val="24"/>
        </w:rPr>
        <w:t xml:space="preserve"> of</w:t>
      </w:r>
      <w:r w:rsidR="00373265" w:rsidRPr="00054E92">
        <w:rPr>
          <w:rFonts w:cstheme="minorHAnsi"/>
          <w:sz w:val="24"/>
          <w:szCs w:val="24"/>
        </w:rPr>
        <w:t xml:space="preserve"> </w:t>
      </w:r>
      <w:r w:rsidR="005F39E6" w:rsidRPr="00054E92">
        <w:rPr>
          <w:rFonts w:cstheme="minorHAnsi"/>
          <w:sz w:val="24"/>
          <w:szCs w:val="24"/>
        </w:rPr>
        <w:t>these seven states, th</w:t>
      </w:r>
      <w:r w:rsidR="000C2A86" w:rsidRPr="00054E92">
        <w:rPr>
          <w:rFonts w:cstheme="minorHAnsi"/>
          <w:sz w:val="24"/>
          <w:szCs w:val="24"/>
        </w:rPr>
        <w:t xml:space="preserve">e rates of </w:t>
      </w:r>
      <w:r w:rsidR="005F39E6" w:rsidRPr="00054E92">
        <w:rPr>
          <w:rFonts w:cstheme="minorHAnsi"/>
          <w:sz w:val="24"/>
          <w:szCs w:val="24"/>
        </w:rPr>
        <w:t>income inadequacy, of having household income below the Self-Sufficiency Standard, are higher</w:t>
      </w:r>
      <w:r w:rsidR="00373265" w:rsidRPr="00054E92">
        <w:rPr>
          <w:rFonts w:cstheme="minorHAnsi"/>
          <w:sz w:val="24"/>
          <w:szCs w:val="24"/>
        </w:rPr>
        <w:t xml:space="preserve"> </w:t>
      </w:r>
      <w:r w:rsidR="005F39E6" w:rsidRPr="00054E92">
        <w:rPr>
          <w:rFonts w:cstheme="minorHAnsi"/>
          <w:sz w:val="24"/>
          <w:szCs w:val="24"/>
        </w:rPr>
        <w:t>for Latino households</w:t>
      </w:r>
      <w:r w:rsidR="00274B65" w:rsidRPr="00054E92">
        <w:rPr>
          <w:rFonts w:cstheme="minorHAnsi"/>
          <w:sz w:val="24"/>
          <w:szCs w:val="24"/>
        </w:rPr>
        <w:t>, sometimes considerably higher</w:t>
      </w:r>
      <w:r w:rsidR="005F39E6" w:rsidRPr="00054E92">
        <w:rPr>
          <w:rFonts w:cstheme="minorHAnsi"/>
          <w:sz w:val="24"/>
          <w:szCs w:val="24"/>
        </w:rPr>
        <w:t>. (The exception is Mississippi</w:t>
      </w:r>
      <w:r w:rsidR="00373265" w:rsidRPr="00054E92">
        <w:rPr>
          <w:rFonts w:cstheme="minorHAnsi"/>
          <w:sz w:val="24"/>
          <w:szCs w:val="24"/>
        </w:rPr>
        <w:t>, and the difference is only 1%, well within the margin of error.</w:t>
      </w:r>
      <w:r w:rsidR="009E4E1D" w:rsidRPr="00054E92">
        <w:rPr>
          <w:rFonts w:cstheme="minorHAnsi"/>
          <w:sz w:val="24"/>
          <w:szCs w:val="24"/>
        </w:rPr>
        <w:t>)  That is, on average across these seven states, almost half of Latino households lack adequate income to meet their basic needs.</w:t>
      </w:r>
      <w:r w:rsidR="005F39E6" w:rsidRPr="00054E92">
        <w:rPr>
          <w:rFonts w:cstheme="minorHAnsi"/>
          <w:sz w:val="24"/>
          <w:szCs w:val="24"/>
        </w:rPr>
        <w:t xml:space="preserve"> </w:t>
      </w:r>
      <w:r w:rsidR="009E4E1D" w:rsidRPr="00054E92">
        <w:rPr>
          <w:rFonts w:cstheme="minorHAnsi"/>
          <w:sz w:val="24"/>
          <w:szCs w:val="24"/>
        </w:rPr>
        <w:t xml:space="preserve"> </w:t>
      </w:r>
    </w:p>
    <w:p w:rsidR="00373265" w:rsidRPr="00054E92" w:rsidRDefault="00EA6F59" w:rsidP="00DB6B91">
      <w:pPr>
        <w:ind w:firstLine="720"/>
        <w:rPr>
          <w:rFonts w:cstheme="minorHAnsi"/>
          <w:sz w:val="24"/>
          <w:szCs w:val="24"/>
        </w:rPr>
      </w:pPr>
      <w:r w:rsidRPr="00054E92">
        <w:rPr>
          <w:rFonts w:cstheme="minorHAnsi"/>
          <w:sz w:val="24"/>
          <w:szCs w:val="24"/>
        </w:rPr>
        <w:t xml:space="preserve">This challenges an implicit political understanding that our society has become “post-racial”.  </w:t>
      </w:r>
      <w:r w:rsidR="007C6EBD" w:rsidRPr="00054E92">
        <w:rPr>
          <w:rFonts w:cstheme="minorHAnsi"/>
          <w:sz w:val="24"/>
          <w:szCs w:val="24"/>
        </w:rPr>
        <w:t>As one increases the number of households between the FPL and the SSS, one would expect that it would become more diverse, with less concentration of minorities.  Yet what is apparent here is w</w:t>
      </w:r>
      <w:r w:rsidRPr="00054E92">
        <w:rPr>
          <w:rFonts w:cstheme="minorHAnsi"/>
          <w:sz w:val="24"/>
          <w:szCs w:val="24"/>
        </w:rPr>
        <w:t xml:space="preserve">ith the </w:t>
      </w:r>
      <w:r w:rsidR="007C6EBD" w:rsidRPr="00054E92">
        <w:rPr>
          <w:rFonts w:cstheme="minorHAnsi"/>
          <w:sz w:val="24"/>
          <w:szCs w:val="24"/>
        </w:rPr>
        <w:t xml:space="preserve">greater </w:t>
      </w:r>
      <w:r w:rsidRPr="00054E92">
        <w:rPr>
          <w:rFonts w:cstheme="minorHAnsi"/>
          <w:sz w:val="24"/>
          <w:szCs w:val="24"/>
        </w:rPr>
        <w:t xml:space="preserve">concentration of </w:t>
      </w:r>
      <w:r w:rsidR="007C6EBD" w:rsidRPr="00054E92">
        <w:rPr>
          <w:rFonts w:cstheme="minorHAnsi"/>
          <w:sz w:val="24"/>
          <w:szCs w:val="24"/>
        </w:rPr>
        <w:t>African-Americans and Latinos</w:t>
      </w:r>
      <w:r w:rsidRPr="00054E92">
        <w:rPr>
          <w:rFonts w:cstheme="minorHAnsi"/>
          <w:sz w:val="24"/>
          <w:szCs w:val="24"/>
        </w:rPr>
        <w:t xml:space="preserve"> in cities, with their higher cost</w:t>
      </w:r>
      <w:r w:rsidR="00373265" w:rsidRPr="00054E92">
        <w:rPr>
          <w:rFonts w:cstheme="minorHAnsi"/>
          <w:sz w:val="24"/>
          <w:szCs w:val="24"/>
        </w:rPr>
        <w:t>s</w:t>
      </w:r>
      <w:r w:rsidRPr="00054E92">
        <w:rPr>
          <w:rFonts w:cstheme="minorHAnsi"/>
          <w:sz w:val="24"/>
          <w:szCs w:val="24"/>
        </w:rPr>
        <w:t xml:space="preserve"> of living, </w:t>
      </w:r>
      <w:r w:rsidR="007C6EBD" w:rsidRPr="00054E92">
        <w:rPr>
          <w:rFonts w:cstheme="minorHAnsi"/>
          <w:sz w:val="24"/>
          <w:szCs w:val="24"/>
        </w:rPr>
        <w:t>these groups experience extremely hig</w:t>
      </w:r>
      <w:r w:rsidR="00162A48" w:rsidRPr="00054E92">
        <w:rPr>
          <w:rFonts w:cstheme="minorHAnsi"/>
          <w:sz w:val="24"/>
          <w:szCs w:val="24"/>
        </w:rPr>
        <w:t xml:space="preserve">h rates of income inadequacy.  One way to see the difference is examine </w:t>
      </w:r>
      <w:r w:rsidR="007C6EBD" w:rsidRPr="00054E92">
        <w:rPr>
          <w:rFonts w:cstheme="minorHAnsi"/>
          <w:sz w:val="24"/>
          <w:szCs w:val="24"/>
        </w:rPr>
        <w:t xml:space="preserve">the </w:t>
      </w:r>
      <w:r w:rsidR="00162A48" w:rsidRPr="00054E92">
        <w:rPr>
          <w:rFonts w:cstheme="minorHAnsi"/>
          <w:sz w:val="24"/>
          <w:szCs w:val="24"/>
        </w:rPr>
        <w:t xml:space="preserve">difference in poverty rates by race-ethnicity as </w:t>
      </w:r>
      <w:r w:rsidR="00162A48" w:rsidRPr="00054E92">
        <w:rPr>
          <w:rFonts w:cstheme="minorHAnsi"/>
          <w:sz w:val="24"/>
          <w:szCs w:val="24"/>
        </w:rPr>
        <w:lastRenderedPageBreak/>
        <w:t xml:space="preserve">measured by the FPL, compared to the difference in income inadequacy rates as measured by the SSS.  While there is variation, on average the FPL poverty rates are about 12 </w:t>
      </w:r>
      <w:r w:rsidR="001D1AF8">
        <w:rPr>
          <w:rFonts w:cstheme="minorHAnsi"/>
          <w:sz w:val="24"/>
          <w:szCs w:val="24"/>
        </w:rPr>
        <w:t xml:space="preserve">percentage </w:t>
      </w:r>
      <w:r w:rsidR="00162A48" w:rsidRPr="00054E92">
        <w:rPr>
          <w:rFonts w:cstheme="minorHAnsi"/>
          <w:sz w:val="24"/>
          <w:szCs w:val="24"/>
        </w:rPr>
        <w:t xml:space="preserve">points higher for African Americans as well as for Latinos than for whites across these seven states.  However the </w:t>
      </w:r>
      <w:r w:rsidR="007C6EBD" w:rsidRPr="00054E92">
        <w:rPr>
          <w:rFonts w:cstheme="minorHAnsi"/>
          <w:sz w:val="24"/>
          <w:szCs w:val="24"/>
        </w:rPr>
        <w:t xml:space="preserve">gap </w:t>
      </w:r>
      <w:r w:rsidR="00162A48" w:rsidRPr="00054E92">
        <w:rPr>
          <w:rFonts w:cstheme="minorHAnsi"/>
          <w:sz w:val="24"/>
          <w:szCs w:val="24"/>
        </w:rPr>
        <w:t>in rates increases under the SSS, averaging 22 percentage points higher for African American households than white households and 31 percentage points higher for Latino than white households.</w:t>
      </w:r>
      <w:r w:rsidRPr="00054E92">
        <w:rPr>
          <w:rFonts w:cstheme="minorHAnsi"/>
          <w:sz w:val="24"/>
          <w:szCs w:val="24"/>
        </w:rPr>
        <w:t xml:space="preserve">  </w:t>
      </w:r>
    </w:p>
    <w:p w:rsidR="00373265" w:rsidRPr="00054E92" w:rsidRDefault="00EA6F59" w:rsidP="00DB6B91">
      <w:pPr>
        <w:ind w:firstLine="720"/>
        <w:rPr>
          <w:rFonts w:cstheme="minorHAnsi"/>
          <w:sz w:val="24"/>
          <w:szCs w:val="24"/>
        </w:rPr>
      </w:pPr>
      <w:r w:rsidRPr="00054E92">
        <w:rPr>
          <w:rFonts w:cstheme="minorHAnsi"/>
          <w:sz w:val="24"/>
          <w:szCs w:val="24"/>
        </w:rPr>
        <w:t>Likewise, an increasing divide in this country in economic fortunes occurs between one-earner and two-earner families, which is largely (though not entirely) a division between single parent and two parent famili</w:t>
      </w:r>
      <w:r w:rsidR="007F5B8E" w:rsidRPr="00054E92">
        <w:rPr>
          <w:rFonts w:cstheme="minorHAnsi"/>
          <w:sz w:val="24"/>
          <w:szCs w:val="24"/>
        </w:rPr>
        <w:t xml:space="preserve">es. </w:t>
      </w:r>
      <w:r w:rsidR="004510D3" w:rsidRPr="00054E92">
        <w:rPr>
          <w:rFonts w:cstheme="minorHAnsi"/>
          <w:sz w:val="24"/>
          <w:szCs w:val="24"/>
        </w:rPr>
        <w:t>In Table 4,</w:t>
      </w:r>
      <w:r w:rsidR="001043BE" w:rsidRPr="00054E92">
        <w:rPr>
          <w:rFonts w:cstheme="minorHAnsi"/>
          <w:sz w:val="24"/>
          <w:szCs w:val="24"/>
        </w:rPr>
        <w:t xml:space="preserve"> the incidence of income inadequacy among households with children</w:t>
      </w:r>
      <w:r w:rsidR="004510D3" w:rsidRPr="00054E92">
        <w:rPr>
          <w:rFonts w:cstheme="minorHAnsi"/>
          <w:sz w:val="24"/>
          <w:szCs w:val="24"/>
        </w:rPr>
        <w:t xml:space="preserve"> is examined</w:t>
      </w:r>
      <w:r w:rsidR="001043BE" w:rsidRPr="00054E92">
        <w:rPr>
          <w:rFonts w:cstheme="minorHAnsi"/>
          <w:sz w:val="24"/>
          <w:szCs w:val="24"/>
        </w:rPr>
        <w:t xml:space="preserve">, comparing these households by type (married couple and single fathers compared to single mothers), as well as by number of workers, and </w:t>
      </w:r>
      <w:r w:rsidR="00C808A8">
        <w:rPr>
          <w:rFonts w:cstheme="minorHAnsi"/>
          <w:sz w:val="24"/>
          <w:szCs w:val="24"/>
        </w:rPr>
        <w:t>presence of one full-time year round worker</w:t>
      </w:r>
      <w:r w:rsidR="001043BE" w:rsidRPr="00054E92">
        <w:rPr>
          <w:rFonts w:cstheme="minorHAnsi"/>
          <w:sz w:val="24"/>
          <w:szCs w:val="24"/>
        </w:rPr>
        <w:t xml:space="preserve">.  While there are differences by state, in general it can be said that </w:t>
      </w:r>
      <w:r w:rsidR="004C725F" w:rsidRPr="00054E92">
        <w:rPr>
          <w:rFonts w:cstheme="minorHAnsi"/>
          <w:sz w:val="24"/>
          <w:szCs w:val="24"/>
        </w:rPr>
        <w:t xml:space="preserve">the rates of income insufficiency are very high, in spite of substantial work effort. Just over one-third of married couple and single father households with one full time year round worker, on average across these states, lack adequate income.  In the instance of single mother households with one full-time year-round worker, over half </w:t>
      </w:r>
      <w:r w:rsidR="00AA408E" w:rsidRPr="00054E92">
        <w:rPr>
          <w:rFonts w:cstheme="minorHAnsi"/>
          <w:sz w:val="24"/>
          <w:szCs w:val="24"/>
        </w:rPr>
        <w:t>of these households on average, lack adequate income to meet their basic needs.</w:t>
      </w:r>
      <w:r w:rsidR="007F5B8E" w:rsidRPr="00054E92">
        <w:rPr>
          <w:rFonts w:cstheme="minorHAnsi"/>
          <w:sz w:val="24"/>
          <w:szCs w:val="24"/>
        </w:rPr>
        <w:t xml:space="preserve"> </w:t>
      </w:r>
    </w:p>
    <w:p w:rsidR="007F5433" w:rsidRPr="00054E92" w:rsidRDefault="007F5B8E" w:rsidP="00DB6B91">
      <w:pPr>
        <w:ind w:firstLine="720"/>
        <w:rPr>
          <w:rFonts w:cstheme="minorHAnsi"/>
          <w:sz w:val="24"/>
          <w:szCs w:val="24"/>
        </w:rPr>
      </w:pPr>
      <w:r w:rsidRPr="00054E92">
        <w:rPr>
          <w:rFonts w:cstheme="minorHAnsi"/>
          <w:sz w:val="24"/>
          <w:szCs w:val="24"/>
        </w:rPr>
        <w:t xml:space="preserve">To the extent to which the number of single parents is disproportionately higher among some </w:t>
      </w:r>
      <w:r w:rsidR="00373265" w:rsidRPr="00054E92">
        <w:rPr>
          <w:rFonts w:cstheme="minorHAnsi"/>
          <w:sz w:val="24"/>
          <w:szCs w:val="24"/>
        </w:rPr>
        <w:t xml:space="preserve">racial/ethnic </w:t>
      </w:r>
      <w:r w:rsidRPr="00054E92">
        <w:rPr>
          <w:rFonts w:cstheme="minorHAnsi"/>
          <w:sz w:val="24"/>
          <w:szCs w:val="24"/>
        </w:rPr>
        <w:t xml:space="preserve">groups, this then </w:t>
      </w:r>
      <w:r w:rsidR="00D17DDF" w:rsidRPr="00054E92">
        <w:rPr>
          <w:rFonts w:cstheme="minorHAnsi"/>
          <w:sz w:val="24"/>
          <w:szCs w:val="24"/>
        </w:rPr>
        <w:t>increases once again</w:t>
      </w:r>
      <w:r w:rsidRPr="00054E92">
        <w:rPr>
          <w:rFonts w:cstheme="minorHAnsi"/>
          <w:sz w:val="24"/>
          <w:szCs w:val="24"/>
        </w:rPr>
        <w:t xml:space="preserve"> the likelihood of experiencing inadequate income.</w:t>
      </w:r>
      <w:r w:rsidR="0002568A" w:rsidRPr="00054E92">
        <w:rPr>
          <w:rFonts w:cstheme="minorHAnsi"/>
          <w:sz w:val="24"/>
          <w:szCs w:val="24"/>
        </w:rPr>
        <w:t xml:space="preserve">  </w:t>
      </w:r>
      <w:r w:rsidR="00162A48" w:rsidRPr="00054E92">
        <w:rPr>
          <w:rFonts w:cstheme="minorHAnsi"/>
          <w:sz w:val="24"/>
          <w:szCs w:val="24"/>
        </w:rPr>
        <w:t xml:space="preserve">Thus the rates of income inadequacy for single mother headed households range from </w:t>
      </w:r>
      <w:r w:rsidR="007F5433" w:rsidRPr="00054E92">
        <w:rPr>
          <w:rFonts w:cstheme="minorHAnsi"/>
          <w:sz w:val="24"/>
          <w:szCs w:val="24"/>
        </w:rPr>
        <w:t xml:space="preserve">64% (Washington) to 75% for black single mothers (Mississippi) and from 71% (Washington) to 80% (Connecticut) for Latino single mother households.  </w:t>
      </w:r>
    </w:p>
    <w:p w:rsidR="008D1479" w:rsidRPr="00054E92" w:rsidRDefault="0002568A" w:rsidP="00DB6B91">
      <w:pPr>
        <w:ind w:firstLine="720"/>
        <w:rPr>
          <w:rFonts w:cstheme="minorHAnsi"/>
          <w:sz w:val="24"/>
          <w:szCs w:val="24"/>
        </w:rPr>
      </w:pPr>
      <w:r w:rsidRPr="00054E92">
        <w:rPr>
          <w:rFonts w:cstheme="minorHAnsi"/>
          <w:sz w:val="24"/>
          <w:szCs w:val="24"/>
        </w:rPr>
        <w:t xml:space="preserve">These trends are in spite of the fact that among </w:t>
      </w:r>
      <w:r w:rsidR="007F5433" w:rsidRPr="00054E92">
        <w:rPr>
          <w:rFonts w:cstheme="minorHAnsi"/>
          <w:sz w:val="24"/>
          <w:szCs w:val="24"/>
        </w:rPr>
        <w:t xml:space="preserve">all </w:t>
      </w:r>
      <w:r w:rsidRPr="00054E92">
        <w:rPr>
          <w:rFonts w:cstheme="minorHAnsi"/>
          <w:sz w:val="24"/>
          <w:szCs w:val="24"/>
        </w:rPr>
        <w:t xml:space="preserve">households with inadequate income, the vast majority have at least one worker, </w:t>
      </w:r>
      <w:r w:rsidR="00AA408E" w:rsidRPr="00054E92">
        <w:rPr>
          <w:rFonts w:cstheme="minorHAnsi"/>
          <w:sz w:val="24"/>
          <w:szCs w:val="24"/>
        </w:rPr>
        <w:t xml:space="preserve">ranging from 80-85% in each state, about </w:t>
      </w:r>
      <w:r w:rsidRPr="00054E92">
        <w:rPr>
          <w:rFonts w:cstheme="minorHAnsi"/>
          <w:sz w:val="24"/>
          <w:szCs w:val="24"/>
        </w:rPr>
        <w:t>half of whom are full time</w:t>
      </w:r>
      <w:r w:rsidR="00673C02" w:rsidRPr="00054E92">
        <w:rPr>
          <w:rFonts w:cstheme="minorHAnsi"/>
          <w:sz w:val="24"/>
          <w:szCs w:val="24"/>
        </w:rPr>
        <w:t xml:space="preserve"> workers</w:t>
      </w:r>
      <w:r w:rsidR="00D17DDF" w:rsidRPr="00054E92">
        <w:rPr>
          <w:rFonts w:cstheme="minorHAnsi"/>
          <w:sz w:val="24"/>
          <w:szCs w:val="24"/>
        </w:rPr>
        <w:t xml:space="preserve"> (data not shown)</w:t>
      </w:r>
      <w:r w:rsidR="00AA408E" w:rsidRPr="00054E92">
        <w:rPr>
          <w:rFonts w:cstheme="minorHAnsi"/>
          <w:sz w:val="24"/>
          <w:szCs w:val="24"/>
        </w:rPr>
        <w:t>.  Essentially,</w:t>
      </w:r>
      <w:r w:rsidRPr="00054E92">
        <w:rPr>
          <w:rFonts w:cstheme="minorHAnsi"/>
          <w:sz w:val="24"/>
          <w:szCs w:val="24"/>
        </w:rPr>
        <w:t xml:space="preserve"> work effort does not differ substantially between those above and below the Standard.</w:t>
      </w:r>
      <w:r w:rsidR="00AA408E" w:rsidRPr="00054E92">
        <w:rPr>
          <w:rFonts w:cstheme="minorHAnsi"/>
          <w:sz w:val="24"/>
          <w:szCs w:val="24"/>
        </w:rPr>
        <w:t xml:space="preserve"> Wages, however, do differ substantially.</w:t>
      </w:r>
      <w:r w:rsidRPr="00054E92">
        <w:rPr>
          <w:rFonts w:cstheme="minorHAnsi"/>
          <w:sz w:val="24"/>
          <w:szCs w:val="24"/>
        </w:rPr>
        <w:t xml:space="preserve">  </w:t>
      </w:r>
      <w:r w:rsidR="00AA408E" w:rsidRPr="00054E92">
        <w:rPr>
          <w:rFonts w:cstheme="minorHAnsi"/>
          <w:sz w:val="24"/>
          <w:szCs w:val="24"/>
        </w:rPr>
        <w:t xml:space="preserve"> What this means is that </w:t>
      </w:r>
      <w:r w:rsidR="00DA0665" w:rsidRPr="00054E92">
        <w:rPr>
          <w:rFonts w:cstheme="minorHAnsi"/>
          <w:sz w:val="24"/>
          <w:szCs w:val="24"/>
        </w:rPr>
        <w:t xml:space="preserve">the burden of income insufficiency </w:t>
      </w:r>
      <w:r w:rsidR="00C54A7F" w:rsidRPr="00054E92">
        <w:rPr>
          <w:rFonts w:cstheme="minorHAnsi"/>
          <w:sz w:val="24"/>
          <w:szCs w:val="24"/>
        </w:rPr>
        <w:t>(or some would say poverty) has shifted to those already working, many full time and/or more than one job.  Thus</w:t>
      </w:r>
      <w:r w:rsidR="00673C02" w:rsidRPr="00054E92">
        <w:rPr>
          <w:rFonts w:cstheme="minorHAnsi"/>
          <w:sz w:val="24"/>
          <w:szCs w:val="24"/>
        </w:rPr>
        <w:t>,</w:t>
      </w:r>
      <w:r w:rsidR="00C54A7F" w:rsidRPr="00054E92">
        <w:rPr>
          <w:rFonts w:cstheme="minorHAnsi"/>
          <w:sz w:val="24"/>
          <w:szCs w:val="24"/>
        </w:rPr>
        <w:t xml:space="preserve"> </w:t>
      </w:r>
      <w:r w:rsidR="00AA408E" w:rsidRPr="00054E92">
        <w:rPr>
          <w:rFonts w:cstheme="minorHAnsi"/>
          <w:sz w:val="24"/>
          <w:szCs w:val="24"/>
        </w:rPr>
        <w:t xml:space="preserve">using a measure like the Self-Sufficiency Standard </w:t>
      </w:r>
      <w:r w:rsidR="007A6D0A" w:rsidRPr="00054E92">
        <w:rPr>
          <w:rFonts w:cstheme="minorHAnsi"/>
          <w:sz w:val="24"/>
          <w:szCs w:val="24"/>
        </w:rPr>
        <w:t>challenges the analyst to examine much more systematically the issue of wages and the role that earnings play in contributing to income inadequacy</w:t>
      </w:r>
      <w:r w:rsidR="009360EB" w:rsidRPr="00054E92">
        <w:rPr>
          <w:rFonts w:cstheme="minorHAnsi"/>
          <w:sz w:val="24"/>
          <w:szCs w:val="24"/>
        </w:rPr>
        <w:t xml:space="preserve"> (Cauthen and Hsien</w:t>
      </w:r>
      <w:r w:rsidR="00F91C04" w:rsidRPr="00054E92">
        <w:rPr>
          <w:rFonts w:cstheme="minorHAnsi"/>
          <w:sz w:val="24"/>
          <w:szCs w:val="24"/>
        </w:rPr>
        <w:t>-Hen</w:t>
      </w:r>
      <w:r w:rsidR="009360EB" w:rsidRPr="00054E92">
        <w:rPr>
          <w:rFonts w:cstheme="minorHAnsi"/>
          <w:sz w:val="24"/>
          <w:szCs w:val="24"/>
        </w:rPr>
        <w:t>, 2003)</w:t>
      </w:r>
      <w:r w:rsidR="007A6D0A" w:rsidRPr="00054E92">
        <w:rPr>
          <w:rFonts w:cstheme="minorHAnsi"/>
          <w:sz w:val="24"/>
          <w:szCs w:val="24"/>
        </w:rPr>
        <w:t xml:space="preserve">. </w:t>
      </w:r>
    </w:p>
    <w:p w:rsidR="00C54A7F" w:rsidRPr="00054E92" w:rsidRDefault="00C54A7F" w:rsidP="00DB6B91">
      <w:pPr>
        <w:ind w:firstLine="720"/>
        <w:rPr>
          <w:rFonts w:cstheme="minorHAnsi"/>
          <w:sz w:val="24"/>
          <w:szCs w:val="24"/>
        </w:rPr>
      </w:pPr>
      <w:r w:rsidRPr="00054E92">
        <w:rPr>
          <w:rFonts w:cstheme="minorHAnsi"/>
          <w:sz w:val="24"/>
          <w:szCs w:val="24"/>
        </w:rPr>
        <w:t xml:space="preserve">In conclusion, the Self-Sufficiency Standard solves the thresholds problem facing many policymakers, but also challenges researchers to reexamine who lacks adequate income, and why.  The </w:t>
      </w:r>
      <w:r w:rsidR="009B7325" w:rsidRPr="00054E92">
        <w:rPr>
          <w:rFonts w:cstheme="minorHAnsi"/>
          <w:sz w:val="24"/>
          <w:szCs w:val="24"/>
        </w:rPr>
        <w:t xml:space="preserve">more traditional </w:t>
      </w:r>
      <w:r w:rsidR="00C47F7A" w:rsidRPr="00054E92">
        <w:rPr>
          <w:rFonts w:cstheme="minorHAnsi"/>
          <w:sz w:val="24"/>
          <w:szCs w:val="24"/>
        </w:rPr>
        <w:t xml:space="preserve">perspective </w:t>
      </w:r>
      <w:r w:rsidR="009B7325" w:rsidRPr="00054E92">
        <w:rPr>
          <w:rFonts w:cstheme="minorHAnsi"/>
          <w:sz w:val="24"/>
          <w:szCs w:val="24"/>
        </w:rPr>
        <w:t xml:space="preserve">of both poverty </w:t>
      </w:r>
      <w:r w:rsidR="008C6979" w:rsidRPr="00054E92">
        <w:rPr>
          <w:rFonts w:cstheme="minorHAnsi"/>
          <w:sz w:val="24"/>
          <w:szCs w:val="24"/>
        </w:rPr>
        <w:t>program providers and analysts</w:t>
      </w:r>
      <w:r w:rsidR="009B7325" w:rsidRPr="00054E92">
        <w:rPr>
          <w:rFonts w:cstheme="minorHAnsi"/>
          <w:sz w:val="24"/>
          <w:szCs w:val="24"/>
        </w:rPr>
        <w:t xml:space="preserve"> that focuses on the characteristics and motivation of the poor (including chronic illness and disability, lack of education, lack of English-speaking ability, </w:t>
      </w:r>
      <w:r w:rsidR="00C47F7A" w:rsidRPr="00054E92">
        <w:rPr>
          <w:rFonts w:cstheme="minorHAnsi"/>
          <w:sz w:val="24"/>
          <w:szCs w:val="24"/>
        </w:rPr>
        <w:t>work ethic</w:t>
      </w:r>
      <w:r w:rsidR="00D17DDF" w:rsidRPr="00054E92">
        <w:rPr>
          <w:rFonts w:cstheme="minorHAnsi"/>
          <w:sz w:val="24"/>
          <w:szCs w:val="24"/>
        </w:rPr>
        <w:t xml:space="preserve">, </w:t>
      </w:r>
      <w:r w:rsidR="009B7325" w:rsidRPr="00054E92">
        <w:rPr>
          <w:rFonts w:cstheme="minorHAnsi"/>
          <w:sz w:val="24"/>
          <w:szCs w:val="24"/>
        </w:rPr>
        <w:t xml:space="preserve">and so forth) is </w:t>
      </w:r>
      <w:r w:rsidR="00B43267" w:rsidRPr="00054E92">
        <w:rPr>
          <w:rFonts w:cstheme="minorHAnsi"/>
          <w:sz w:val="24"/>
          <w:szCs w:val="24"/>
        </w:rPr>
        <w:lastRenderedPageBreak/>
        <w:t>contested</w:t>
      </w:r>
      <w:r w:rsidR="009B7325" w:rsidRPr="00054E92">
        <w:rPr>
          <w:rFonts w:cstheme="minorHAnsi"/>
          <w:sz w:val="24"/>
          <w:szCs w:val="24"/>
        </w:rPr>
        <w:t xml:space="preserve"> by </w:t>
      </w:r>
      <w:r w:rsidR="007566F3" w:rsidRPr="00054E92">
        <w:rPr>
          <w:rFonts w:cstheme="minorHAnsi"/>
          <w:sz w:val="24"/>
          <w:szCs w:val="24"/>
        </w:rPr>
        <w:t>the statistics presented here.  The highly disproportionate rates of income inadequacy found particularly among Latino and African American households, and/or those maintained by women alone, in spite of high levels of work effort, challenge</w:t>
      </w:r>
      <w:r w:rsidR="00B43267" w:rsidRPr="00054E92">
        <w:rPr>
          <w:rFonts w:cstheme="minorHAnsi"/>
          <w:sz w:val="24"/>
          <w:szCs w:val="24"/>
        </w:rPr>
        <w:t xml:space="preserve"> us to reexa</w:t>
      </w:r>
      <w:r w:rsidR="00C47F7A" w:rsidRPr="00054E92">
        <w:rPr>
          <w:rFonts w:cstheme="minorHAnsi"/>
          <w:sz w:val="24"/>
          <w:szCs w:val="24"/>
        </w:rPr>
        <w:t>mine the role of race/ethnicity and</w:t>
      </w:r>
      <w:r w:rsidR="00B43267" w:rsidRPr="00054E92">
        <w:rPr>
          <w:rFonts w:cstheme="minorHAnsi"/>
          <w:sz w:val="24"/>
          <w:szCs w:val="24"/>
        </w:rPr>
        <w:t xml:space="preserve"> gender</w:t>
      </w:r>
      <w:r w:rsidR="00C47F7A" w:rsidRPr="00054E92">
        <w:rPr>
          <w:rFonts w:cstheme="minorHAnsi"/>
          <w:sz w:val="24"/>
          <w:szCs w:val="24"/>
        </w:rPr>
        <w:t xml:space="preserve"> in the inequality of</w:t>
      </w:r>
      <w:r w:rsidR="00B43267" w:rsidRPr="00054E92">
        <w:rPr>
          <w:rFonts w:cstheme="minorHAnsi"/>
          <w:sz w:val="24"/>
          <w:szCs w:val="24"/>
        </w:rPr>
        <w:t xml:space="preserve"> wages/earnings </w:t>
      </w:r>
      <w:r w:rsidR="00C47F7A" w:rsidRPr="00054E92">
        <w:rPr>
          <w:rFonts w:cstheme="minorHAnsi"/>
          <w:sz w:val="24"/>
          <w:szCs w:val="24"/>
        </w:rPr>
        <w:t>that underlies</w:t>
      </w:r>
      <w:r w:rsidR="00B43267" w:rsidRPr="00054E92">
        <w:rPr>
          <w:rFonts w:cstheme="minorHAnsi"/>
          <w:sz w:val="24"/>
          <w:szCs w:val="24"/>
        </w:rPr>
        <w:t xml:space="preserve"> these high levels of income inadequacy.</w:t>
      </w:r>
    </w:p>
    <w:p w:rsidR="00382374" w:rsidRPr="00054E92" w:rsidRDefault="00382374">
      <w:pPr>
        <w:rPr>
          <w:rFonts w:cstheme="minorHAnsi"/>
          <w:b/>
          <w:sz w:val="24"/>
          <w:szCs w:val="24"/>
          <w:u w:val="single"/>
        </w:rPr>
      </w:pPr>
      <w:r w:rsidRPr="00054E92">
        <w:rPr>
          <w:rFonts w:cstheme="minorHAnsi"/>
          <w:b/>
          <w:sz w:val="24"/>
          <w:szCs w:val="24"/>
          <w:u w:val="single"/>
        </w:rPr>
        <w:br w:type="page"/>
      </w:r>
    </w:p>
    <w:tbl>
      <w:tblPr>
        <w:tblW w:w="11055" w:type="dxa"/>
        <w:tblInd w:w="-702" w:type="dxa"/>
        <w:tblLook w:val="04A0" w:firstRow="1" w:lastRow="0" w:firstColumn="1" w:lastColumn="0" w:noHBand="0" w:noVBand="1"/>
      </w:tblPr>
      <w:tblGrid>
        <w:gridCol w:w="2947"/>
        <w:gridCol w:w="1114"/>
        <w:gridCol w:w="1134"/>
        <w:gridCol w:w="1825"/>
        <w:gridCol w:w="1134"/>
        <w:gridCol w:w="1057"/>
        <w:gridCol w:w="1844"/>
      </w:tblGrid>
      <w:tr w:rsidR="00DC2C46" w:rsidRPr="00054E92" w:rsidTr="00DB6B91">
        <w:trPr>
          <w:trHeight w:val="338"/>
        </w:trPr>
        <w:tc>
          <w:tcPr>
            <w:tcW w:w="11055" w:type="dxa"/>
            <w:gridSpan w:val="7"/>
            <w:tcBorders>
              <w:top w:val="single" w:sz="8" w:space="0" w:color="auto"/>
              <w:left w:val="single" w:sz="8" w:space="0" w:color="auto"/>
              <w:bottom w:val="nil"/>
              <w:right w:val="single" w:sz="8" w:space="0" w:color="000000"/>
            </w:tcBorders>
            <w:shd w:val="clear" w:color="auto" w:fill="auto"/>
            <w:noWrap/>
            <w:vAlign w:val="center"/>
            <w:hideMark/>
          </w:tcPr>
          <w:p w:rsidR="00DC2C46" w:rsidRPr="00054E92" w:rsidRDefault="00DC2C46" w:rsidP="00DC2C46">
            <w:pPr>
              <w:spacing w:after="0" w:line="240" w:lineRule="auto"/>
              <w:jc w:val="center"/>
              <w:rPr>
                <w:rFonts w:eastAsia="Times New Roman" w:cstheme="minorHAnsi"/>
                <w:b/>
                <w:bCs/>
                <w:sz w:val="24"/>
                <w:szCs w:val="24"/>
              </w:rPr>
            </w:pPr>
            <w:r w:rsidRPr="00054E92">
              <w:rPr>
                <w:rFonts w:eastAsia="Times New Roman" w:cstheme="minorHAnsi"/>
                <w:b/>
                <w:bCs/>
                <w:sz w:val="24"/>
                <w:szCs w:val="24"/>
              </w:rPr>
              <w:lastRenderedPageBreak/>
              <w:t>Table 1. Comparison of Cost Changes Between CPI and SSS</w:t>
            </w:r>
          </w:p>
        </w:tc>
      </w:tr>
      <w:tr w:rsidR="00DC2C46" w:rsidRPr="00054E92" w:rsidTr="00DB6B91">
        <w:trPr>
          <w:trHeight w:val="544"/>
        </w:trPr>
        <w:tc>
          <w:tcPr>
            <w:tcW w:w="2947" w:type="dxa"/>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2C46" w:rsidRPr="00054E92" w:rsidRDefault="00DC2C46" w:rsidP="00DC2C46">
            <w:pPr>
              <w:spacing w:after="0" w:line="240" w:lineRule="auto"/>
              <w:jc w:val="center"/>
              <w:rPr>
                <w:rFonts w:eastAsia="Times New Roman" w:cstheme="minorHAnsi"/>
                <w:b/>
                <w:bCs/>
                <w:sz w:val="24"/>
                <w:szCs w:val="24"/>
              </w:rPr>
            </w:pPr>
            <w:r w:rsidRPr="00054E92">
              <w:rPr>
                <w:rFonts w:eastAsia="Times New Roman" w:cstheme="minorHAnsi"/>
                <w:b/>
                <w:bCs/>
                <w:sz w:val="24"/>
                <w:szCs w:val="24"/>
              </w:rPr>
              <w:t> </w:t>
            </w:r>
          </w:p>
        </w:tc>
        <w:tc>
          <w:tcPr>
            <w:tcW w:w="4073" w:type="dxa"/>
            <w:gridSpan w:val="3"/>
            <w:tcBorders>
              <w:top w:val="single" w:sz="4" w:space="0" w:color="auto"/>
              <w:left w:val="nil"/>
              <w:bottom w:val="single" w:sz="4" w:space="0" w:color="auto"/>
              <w:right w:val="single" w:sz="8" w:space="0" w:color="000000"/>
            </w:tcBorders>
            <w:shd w:val="clear" w:color="auto" w:fill="auto"/>
            <w:vAlign w:val="center"/>
            <w:hideMark/>
          </w:tcPr>
          <w:p w:rsidR="00DC2C46" w:rsidRPr="00054E92" w:rsidRDefault="00DC2C46" w:rsidP="00DC2C46">
            <w:pPr>
              <w:spacing w:after="0" w:line="240" w:lineRule="auto"/>
              <w:jc w:val="center"/>
              <w:rPr>
                <w:rFonts w:eastAsia="Times New Roman" w:cstheme="minorHAnsi"/>
                <w:b/>
                <w:bCs/>
                <w:sz w:val="24"/>
                <w:szCs w:val="24"/>
              </w:rPr>
            </w:pPr>
            <w:r w:rsidRPr="00054E92">
              <w:rPr>
                <w:rFonts w:eastAsia="Times New Roman" w:cstheme="minorHAnsi"/>
                <w:b/>
                <w:bCs/>
                <w:sz w:val="24"/>
                <w:szCs w:val="24"/>
              </w:rPr>
              <w:t>State by State Comparisons</w:t>
            </w:r>
            <w:r w:rsidRPr="00054E92">
              <w:rPr>
                <w:rFonts w:eastAsia="Times New Roman" w:cstheme="minorHAnsi"/>
                <w:b/>
                <w:bCs/>
                <w:sz w:val="24"/>
                <w:szCs w:val="24"/>
              </w:rPr>
              <w:br/>
              <w:t>Years 1999-2003 to mid-2000s</w:t>
            </w:r>
          </w:p>
        </w:tc>
        <w:tc>
          <w:tcPr>
            <w:tcW w:w="4035" w:type="dxa"/>
            <w:gridSpan w:val="3"/>
            <w:tcBorders>
              <w:top w:val="single" w:sz="4" w:space="0" w:color="auto"/>
              <w:left w:val="nil"/>
              <w:bottom w:val="single" w:sz="4" w:space="0" w:color="auto"/>
              <w:right w:val="single" w:sz="8" w:space="0" w:color="000000"/>
            </w:tcBorders>
            <w:shd w:val="clear" w:color="auto" w:fill="auto"/>
            <w:vAlign w:val="center"/>
            <w:hideMark/>
          </w:tcPr>
          <w:p w:rsidR="00DC2C46" w:rsidRPr="00054E92" w:rsidRDefault="00DC2C46" w:rsidP="00DC2C46">
            <w:pPr>
              <w:spacing w:after="0" w:line="240" w:lineRule="auto"/>
              <w:jc w:val="center"/>
              <w:rPr>
                <w:rFonts w:eastAsia="Times New Roman" w:cstheme="minorHAnsi"/>
                <w:b/>
                <w:bCs/>
                <w:sz w:val="24"/>
                <w:szCs w:val="24"/>
              </w:rPr>
            </w:pPr>
            <w:r w:rsidRPr="00054E92">
              <w:rPr>
                <w:rFonts w:eastAsia="Times New Roman" w:cstheme="minorHAnsi"/>
                <w:b/>
                <w:bCs/>
                <w:sz w:val="24"/>
                <w:szCs w:val="24"/>
              </w:rPr>
              <w:t>State by State Comparisons</w:t>
            </w:r>
            <w:r w:rsidRPr="00054E92">
              <w:rPr>
                <w:rFonts w:eastAsia="Times New Roman" w:cstheme="minorHAnsi"/>
                <w:b/>
                <w:bCs/>
                <w:sz w:val="24"/>
                <w:szCs w:val="24"/>
              </w:rPr>
              <w:br/>
              <w:t>Years mid-2000s to 2008-11</w:t>
            </w:r>
          </w:p>
        </w:tc>
      </w:tr>
      <w:tr w:rsidR="00DC2C46" w:rsidRPr="00054E92" w:rsidTr="00DB6B91">
        <w:trPr>
          <w:trHeight w:val="1102"/>
        </w:trPr>
        <w:tc>
          <w:tcPr>
            <w:tcW w:w="2947" w:type="dxa"/>
            <w:vMerge/>
            <w:tcBorders>
              <w:top w:val="single" w:sz="4" w:space="0" w:color="auto"/>
              <w:left w:val="single" w:sz="8" w:space="0" w:color="auto"/>
              <w:bottom w:val="single" w:sz="4" w:space="0" w:color="auto"/>
              <w:right w:val="single" w:sz="8" w:space="0" w:color="auto"/>
            </w:tcBorders>
            <w:vAlign w:val="center"/>
            <w:hideMark/>
          </w:tcPr>
          <w:p w:rsidR="00DC2C46" w:rsidRPr="00054E92" w:rsidRDefault="00DC2C46" w:rsidP="00DC2C46">
            <w:pPr>
              <w:spacing w:after="0" w:line="240" w:lineRule="auto"/>
              <w:rPr>
                <w:rFonts w:eastAsia="Times New Roman" w:cstheme="minorHAnsi"/>
                <w:b/>
                <w:bCs/>
                <w:sz w:val="24"/>
                <w:szCs w:val="24"/>
              </w:rPr>
            </w:pPr>
          </w:p>
        </w:tc>
        <w:tc>
          <w:tcPr>
            <w:tcW w:w="1114" w:type="dxa"/>
            <w:tcBorders>
              <w:top w:val="nil"/>
              <w:left w:val="nil"/>
              <w:bottom w:val="single" w:sz="4" w:space="0" w:color="auto"/>
              <w:right w:val="single" w:sz="4" w:space="0" w:color="auto"/>
            </w:tcBorders>
            <w:shd w:val="clear" w:color="auto" w:fill="auto"/>
            <w:vAlign w:val="center"/>
            <w:hideMark/>
          </w:tcPr>
          <w:p w:rsidR="00DC2C46" w:rsidRPr="00054E92" w:rsidRDefault="00DC2C46" w:rsidP="00DC2C46">
            <w:pPr>
              <w:spacing w:after="0" w:line="240" w:lineRule="auto"/>
              <w:jc w:val="center"/>
              <w:rPr>
                <w:rFonts w:eastAsia="Times New Roman" w:cstheme="minorHAnsi"/>
                <w:b/>
                <w:bCs/>
                <w:sz w:val="24"/>
                <w:szCs w:val="24"/>
              </w:rPr>
            </w:pPr>
            <w:r w:rsidRPr="00054E92">
              <w:rPr>
                <w:rFonts w:eastAsia="Times New Roman" w:cstheme="minorHAnsi"/>
                <w:b/>
                <w:bCs/>
                <w:sz w:val="24"/>
                <w:szCs w:val="24"/>
              </w:rPr>
              <w:t>Total Percent Change Over time</w:t>
            </w:r>
          </w:p>
        </w:tc>
        <w:tc>
          <w:tcPr>
            <w:tcW w:w="1134" w:type="dxa"/>
            <w:tcBorders>
              <w:top w:val="nil"/>
              <w:left w:val="nil"/>
              <w:bottom w:val="single" w:sz="4" w:space="0" w:color="auto"/>
              <w:right w:val="single" w:sz="4" w:space="0" w:color="auto"/>
            </w:tcBorders>
            <w:shd w:val="clear" w:color="auto" w:fill="auto"/>
            <w:vAlign w:val="center"/>
            <w:hideMark/>
          </w:tcPr>
          <w:p w:rsidR="00DC2C46" w:rsidRPr="00054E92" w:rsidRDefault="00DC2C46" w:rsidP="00DC2C46">
            <w:pPr>
              <w:spacing w:after="0" w:line="240" w:lineRule="auto"/>
              <w:jc w:val="center"/>
              <w:rPr>
                <w:rFonts w:eastAsia="Times New Roman" w:cstheme="minorHAnsi"/>
                <w:b/>
                <w:bCs/>
                <w:sz w:val="24"/>
                <w:szCs w:val="24"/>
              </w:rPr>
            </w:pPr>
            <w:r w:rsidRPr="00054E92">
              <w:rPr>
                <w:rFonts w:eastAsia="Times New Roman" w:cstheme="minorHAnsi"/>
                <w:b/>
                <w:bCs/>
                <w:sz w:val="24"/>
                <w:szCs w:val="24"/>
              </w:rPr>
              <w:t>Average Annual Percent Change</w:t>
            </w:r>
          </w:p>
        </w:tc>
        <w:tc>
          <w:tcPr>
            <w:tcW w:w="1825" w:type="dxa"/>
            <w:tcBorders>
              <w:top w:val="nil"/>
              <w:left w:val="nil"/>
              <w:bottom w:val="single" w:sz="4" w:space="0" w:color="auto"/>
              <w:right w:val="single" w:sz="8" w:space="0" w:color="auto"/>
            </w:tcBorders>
            <w:shd w:val="clear" w:color="auto" w:fill="auto"/>
            <w:vAlign w:val="center"/>
            <w:hideMark/>
          </w:tcPr>
          <w:p w:rsidR="00DC2C46" w:rsidRPr="00054E92" w:rsidRDefault="00DC2C46" w:rsidP="00DC2C46">
            <w:pPr>
              <w:spacing w:after="0" w:line="240" w:lineRule="auto"/>
              <w:jc w:val="center"/>
              <w:rPr>
                <w:rFonts w:eastAsia="Times New Roman" w:cstheme="minorHAnsi"/>
                <w:b/>
                <w:bCs/>
                <w:sz w:val="24"/>
                <w:szCs w:val="24"/>
              </w:rPr>
            </w:pPr>
            <w:r w:rsidRPr="00054E92">
              <w:rPr>
                <w:rFonts w:eastAsia="Times New Roman" w:cstheme="minorHAnsi"/>
                <w:b/>
                <w:bCs/>
                <w:sz w:val="24"/>
                <w:szCs w:val="24"/>
              </w:rPr>
              <w:t>Difference in Annual Percentage Change between CPI &amp; SSS Updated Standards</w:t>
            </w:r>
          </w:p>
        </w:tc>
        <w:tc>
          <w:tcPr>
            <w:tcW w:w="1134" w:type="dxa"/>
            <w:tcBorders>
              <w:top w:val="nil"/>
              <w:left w:val="nil"/>
              <w:bottom w:val="single" w:sz="4" w:space="0" w:color="auto"/>
              <w:right w:val="single" w:sz="4" w:space="0" w:color="auto"/>
            </w:tcBorders>
            <w:shd w:val="clear" w:color="auto" w:fill="auto"/>
            <w:vAlign w:val="center"/>
            <w:hideMark/>
          </w:tcPr>
          <w:p w:rsidR="00DC2C46" w:rsidRPr="00054E92" w:rsidRDefault="00DC2C46" w:rsidP="00DC2C46">
            <w:pPr>
              <w:spacing w:after="0" w:line="240" w:lineRule="auto"/>
              <w:jc w:val="center"/>
              <w:rPr>
                <w:rFonts w:eastAsia="Times New Roman" w:cstheme="minorHAnsi"/>
                <w:b/>
                <w:bCs/>
                <w:sz w:val="24"/>
                <w:szCs w:val="24"/>
              </w:rPr>
            </w:pPr>
            <w:r w:rsidRPr="00054E92">
              <w:rPr>
                <w:rFonts w:eastAsia="Times New Roman" w:cstheme="minorHAnsi"/>
                <w:b/>
                <w:bCs/>
                <w:sz w:val="24"/>
                <w:szCs w:val="24"/>
              </w:rPr>
              <w:t>Total Percent Change Over time</w:t>
            </w:r>
          </w:p>
        </w:tc>
        <w:tc>
          <w:tcPr>
            <w:tcW w:w="1057" w:type="dxa"/>
            <w:tcBorders>
              <w:top w:val="nil"/>
              <w:left w:val="nil"/>
              <w:bottom w:val="single" w:sz="4" w:space="0" w:color="auto"/>
              <w:right w:val="single" w:sz="4" w:space="0" w:color="auto"/>
            </w:tcBorders>
            <w:shd w:val="clear" w:color="auto" w:fill="auto"/>
            <w:vAlign w:val="center"/>
            <w:hideMark/>
          </w:tcPr>
          <w:p w:rsidR="00DC2C46" w:rsidRPr="00054E92" w:rsidRDefault="00DC2C46" w:rsidP="00DC2C46">
            <w:pPr>
              <w:spacing w:after="0" w:line="240" w:lineRule="auto"/>
              <w:jc w:val="center"/>
              <w:rPr>
                <w:rFonts w:eastAsia="Times New Roman" w:cstheme="minorHAnsi"/>
                <w:b/>
                <w:bCs/>
                <w:sz w:val="24"/>
                <w:szCs w:val="24"/>
              </w:rPr>
            </w:pPr>
            <w:r w:rsidRPr="00054E92">
              <w:rPr>
                <w:rFonts w:eastAsia="Times New Roman" w:cstheme="minorHAnsi"/>
                <w:b/>
                <w:bCs/>
                <w:sz w:val="24"/>
                <w:szCs w:val="24"/>
              </w:rPr>
              <w:t>Average Annual Percent Change</w:t>
            </w:r>
          </w:p>
        </w:tc>
        <w:tc>
          <w:tcPr>
            <w:tcW w:w="1844" w:type="dxa"/>
            <w:tcBorders>
              <w:top w:val="nil"/>
              <w:left w:val="nil"/>
              <w:bottom w:val="single" w:sz="4" w:space="0" w:color="auto"/>
              <w:right w:val="single" w:sz="8" w:space="0" w:color="auto"/>
            </w:tcBorders>
            <w:shd w:val="clear" w:color="auto" w:fill="auto"/>
            <w:vAlign w:val="center"/>
            <w:hideMark/>
          </w:tcPr>
          <w:p w:rsidR="00DC2C46" w:rsidRPr="00054E92" w:rsidRDefault="00DC2C46" w:rsidP="00DC2C46">
            <w:pPr>
              <w:spacing w:after="0" w:line="240" w:lineRule="auto"/>
              <w:jc w:val="center"/>
              <w:rPr>
                <w:rFonts w:eastAsia="Times New Roman" w:cstheme="minorHAnsi"/>
                <w:b/>
                <w:bCs/>
                <w:sz w:val="24"/>
                <w:szCs w:val="24"/>
              </w:rPr>
            </w:pPr>
            <w:r w:rsidRPr="00054E92">
              <w:rPr>
                <w:rFonts w:eastAsia="Times New Roman" w:cstheme="minorHAnsi"/>
                <w:b/>
                <w:bCs/>
                <w:sz w:val="24"/>
                <w:szCs w:val="24"/>
              </w:rPr>
              <w:t>Difference in Annual Percentage Change between CPI &amp; SSS Updated Standards</w:t>
            </w:r>
          </w:p>
        </w:tc>
      </w:tr>
      <w:tr w:rsidR="00DC2C46" w:rsidRPr="00054E92" w:rsidTr="00DB6B91">
        <w:trPr>
          <w:trHeight w:val="276"/>
        </w:trPr>
        <w:tc>
          <w:tcPr>
            <w:tcW w:w="2947" w:type="dxa"/>
            <w:tcBorders>
              <w:top w:val="nil"/>
              <w:left w:val="single" w:sz="8" w:space="0" w:color="auto"/>
              <w:bottom w:val="single" w:sz="4" w:space="0" w:color="auto"/>
              <w:right w:val="single" w:sz="8" w:space="0" w:color="auto"/>
            </w:tcBorders>
            <w:shd w:val="clear" w:color="000000" w:fill="333333"/>
            <w:vAlign w:val="bottom"/>
            <w:hideMark/>
          </w:tcPr>
          <w:p w:rsidR="00DC2C46" w:rsidRPr="00054E92" w:rsidRDefault="00DC2C46" w:rsidP="00DC2C46">
            <w:pPr>
              <w:spacing w:after="0" w:line="240" w:lineRule="auto"/>
              <w:rPr>
                <w:rFonts w:eastAsia="Times New Roman" w:cstheme="minorHAnsi"/>
                <w:b/>
                <w:bCs/>
                <w:color w:val="FFFFFF"/>
                <w:sz w:val="24"/>
                <w:szCs w:val="24"/>
              </w:rPr>
            </w:pPr>
            <w:r w:rsidRPr="00054E92">
              <w:rPr>
                <w:rFonts w:eastAsia="Times New Roman" w:cstheme="minorHAnsi"/>
                <w:b/>
                <w:bCs/>
                <w:color w:val="FFFFFF"/>
                <w:sz w:val="24"/>
                <w:szCs w:val="24"/>
              </w:rPr>
              <w:t xml:space="preserve">NEW JERSEY  </w:t>
            </w:r>
          </w:p>
        </w:tc>
        <w:tc>
          <w:tcPr>
            <w:tcW w:w="4073" w:type="dxa"/>
            <w:gridSpan w:val="3"/>
            <w:tcBorders>
              <w:top w:val="single" w:sz="4" w:space="0" w:color="auto"/>
              <w:left w:val="nil"/>
              <w:bottom w:val="single" w:sz="4" w:space="0" w:color="auto"/>
              <w:right w:val="single" w:sz="8" w:space="0" w:color="000000"/>
            </w:tcBorders>
            <w:shd w:val="clear" w:color="000000" w:fill="333333"/>
            <w:vAlign w:val="center"/>
            <w:hideMark/>
          </w:tcPr>
          <w:p w:rsidR="00DC2C46" w:rsidRPr="00054E92" w:rsidRDefault="00DC2C46" w:rsidP="00DC2C46">
            <w:pPr>
              <w:spacing w:after="0" w:line="240" w:lineRule="auto"/>
              <w:jc w:val="center"/>
              <w:rPr>
                <w:rFonts w:eastAsia="Times New Roman" w:cstheme="minorHAnsi"/>
                <w:b/>
                <w:bCs/>
                <w:color w:val="FFFFFF"/>
                <w:sz w:val="24"/>
                <w:szCs w:val="24"/>
              </w:rPr>
            </w:pPr>
            <w:r w:rsidRPr="00054E92">
              <w:rPr>
                <w:rFonts w:eastAsia="Times New Roman" w:cstheme="minorHAnsi"/>
                <w:b/>
                <w:bCs/>
                <w:color w:val="FFFFFF"/>
                <w:sz w:val="24"/>
                <w:szCs w:val="24"/>
              </w:rPr>
              <w:t xml:space="preserve">1999-2005 </w:t>
            </w:r>
          </w:p>
        </w:tc>
        <w:tc>
          <w:tcPr>
            <w:tcW w:w="4035" w:type="dxa"/>
            <w:gridSpan w:val="3"/>
            <w:tcBorders>
              <w:top w:val="single" w:sz="4" w:space="0" w:color="auto"/>
              <w:left w:val="nil"/>
              <w:bottom w:val="single" w:sz="4" w:space="0" w:color="auto"/>
              <w:right w:val="single" w:sz="8" w:space="0" w:color="000000"/>
            </w:tcBorders>
            <w:shd w:val="clear" w:color="000000" w:fill="333333"/>
            <w:vAlign w:val="center"/>
            <w:hideMark/>
          </w:tcPr>
          <w:p w:rsidR="00DC2C46" w:rsidRPr="00054E92" w:rsidRDefault="00DC2C46" w:rsidP="00DC2C46">
            <w:pPr>
              <w:spacing w:after="0" w:line="240" w:lineRule="auto"/>
              <w:jc w:val="center"/>
              <w:rPr>
                <w:rFonts w:eastAsia="Times New Roman" w:cstheme="minorHAnsi"/>
                <w:b/>
                <w:bCs/>
                <w:color w:val="FFFFFF"/>
                <w:sz w:val="24"/>
                <w:szCs w:val="24"/>
              </w:rPr>
            </w:pPr>
            <w:r w:rsidRPr="00054E92">
              <w:rPr>
                <w:rFonts w:eastAsia="Times New Roman" w:cstheme="minorHAnsi"/>
                <w:b/>
                <w:bCs/>
                <w:color w:val="FFFFFF"/>
                <w:sz w:val="24"/>
                <w:szCs w:val="24"/>
              </w:rPr>
              <w:t xml:space="preserve">2005-2008 </w:t>
            </w:r>
          </w:p>
        </w:tc>
      </w:tr>
      <w:tr w:rsidR="00DC2C46" w:rsidRPr="00054E92" w:rsidTr="00DB6B91">
        <w:trPr>
          <w:trHeight w:val="276"/>
        </w:trPr>
        <w:tc>
          <w:tcPr>
            <w:tcW w:w="2947" w:type="dxa"/>
            <w:tcBorders>
              <w:top w:val="nil"/>
              <w:left w:val="single" w:sz="8" w:space="0" w:color="auto"/>
              <w:bottom w:val="single" w:sz="4" w:space="0" w:color="auto"/>
              <w:right w:val="single" w:sz="8" w:space="0" w:color="auto"/>
            </w:tcBorders>
            <w:shd w:val="clear" w:color="auto" w:fill="auto"/>
            <w:vAlign w:val="bottom"/>
            <w:hideMark/>
          </w:tcPr>
          <w:p w:rsidR="00DC2C46" w:rsidRPr="00054E92" w:rsidRDefault="00DC2C46" w:rsidP="00DC2C46">
            <w:pPr>
              <w:spacing w:after="0" w:line="240" w:lineRule="auto"/>
              <w:rPr>
                <w:rFonts w:eastAsia="Times New Roman" w:cstheme="minorHAnsi"/>
                <w:b/>
                <w:bCs/>
                <w:color w:val="000000"/>
                <w:sz w:val="24"/>
                <w:szCs w:val="24"/>
              </w:rPr>
            </w:pPr>
            <w:r w:rsidRPr="00054E92">
              <w:rPr>
                <w:rFonts w:eastAsia="Times New Roman" w:cstheme="minorHAnsi"/>
                <w:b/>
                <w:bCs/>
                <w:color w:val="000000"/>
                <w:sz w:val="24"/>
                <w:szCs w:val="24"/>
              </w:rPr>
              <w:t>Somerset County  SSS</w:t>
            </w:r>
          </w:p>
        </w:tc>
        <w:tc>
          <w:tcPr>
            <w:tcW w:w="1114" w:type="dxa"/>
            <w:tcBorders>
              <w:top w:val="nil"/>
              <w:left w:val="nil"/>
              <w:bottom w:val="single" w:sz="4" w:space="0" w:color="auto"/>
              <w:right w:val="single" w:sz="4" w:space="0" w:color="auto"/>
            </w:tcBorders>
            <w:shd w:val="clear" w:color="auto" w:fill="auto"/>
            <w:noWrap/>
            <w:vAlign w:val="bottom"/>
            <w:hideMark/>
          </w:tcPr>
          <w:p w:rsidR="00DC2C46" w:rsidRPr="00054E92" w:rsidRDefault="00DC2C46" w:rsidP="00DC2C46">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32.8%</w:t>
            </w:r>
          </w:p>
        </w:tc>
        <w:tc>
          <w:tcPr>
            <w:tcW w:w="1134" w:type="dxa"/>
            <w:tcBorders>
              <w:top w:val="nil"/>
              <w:left w:val="nil"/>
              <w:bottom w:val="single" w:sz="4" w:space="0" w:color="auto"/>
              <w:right w:val="single" w:sz="4" w:space="0" w:color="auto"/>
            </w:tcBorders>
            <w:shd w:val="clear" w:color="auto" w:fill="auto"/>
            <w:noWrap/>
            <w:vAlign w:val="bottom"/>
            <w:hideMark/>
          </w:tcPr>
          <w:p w:rsidR="00DC2C46" w:rsidRPr="00054E92" w:rsidRDefault="00DC2C46" w:rsidP="00DC2C46">
            <w:pPr>
              <w:spacing w:after="0" w:line="240" w:lineRule="auto"/>
              <w:jc w:val="center"/>
              <w:rPr>
                <w:rFonts w:eastAsia="Times New Roman" w:cstheme="minorHAnsi"/>
                <w:b/>
                <w:bCs/>
                <w:i/>
                <w:iCs/>
                <w:color w:val="000000"/>
                <w:sz w:val="24"/>
                <w:szCs w:val="24"/>
              </w:rPr>
            </w:pPr>
            <w:r w:rsidRPr="00054E92">
              <w:rPr>
                <w:rFonts w:eastAsia="Times New Roman" w:cstheme="minorHAnsi"/>
                <w:b/>
                <w:bCs/>
                <w:i/>
                <w:iCs/>
                <w:color w:val="000000"/>
                <w:sz w:val="24"/>
                <w:szCs w:val="24"/>
              </w:rPr>
              <w:t>3.6%</w:t>
            </w:r>
          </w:p>
        </w:tc>
        <w:tc>
          <w:tcPr>
            <w:tcW w:w="1825" w:type="dxa"/>
            <w:vMerge w:val="restart"/>
            <w:tcBorders>
              <w:top w:val="nil"/>
              <w:left w:val="single" w:sz="4" w:space="0" w:color="auto"/>
              <w:bottom w:val="single" w:sz="12" w:space="0" w:color="808080"/>
              <w:right w:val="single" w:sz="8" w:space="0" w:color="auto"/>
            </w:tcBorders>
            <w:shd w:val="clear" w:color="auto" w:fill="auto"/>
            <w:noWrap/>
            <w:vAlign w:val="center"/>
            <w:hideMark/>
          </w:tcPr>
          <w:p w:rsidR="00DC2C46" w:rsidRPr="00054E92" w:rsidRDefault="00DC2C46" w:rsidP="00DC2C46">
            <w:pPr>
              <w:spacing w:after="0" w:line="240" w:lineRule="auto"/>
              <w:jc w:val="center"/>
              <w:rPr>
                <w:rFonts w:eastAsia="Times New Roman" w:cstheme="minorHAnsi"/>
                <w:b/>
                <w:bCs/>
                <w:i/>
                <w:iCs/>
                <w:color w:val="000000"/>
                <w:sz w:val="24"/>
                <w:szCs w:val="24"/>
              </w:rPr>
            </w:pPr>
            <w:r w:rsidRPr="00054E92">
              <w:rPr>
                <w:rFonts w:eastAsia="Times New Roman" w:cstheme="minorHAnsi"/>
                <w:b/>
                <w:bCs/>
                <w:i/>
                <w:iCs/>
                <w:color w:val="000000"/>
                <w:sz w:val="24"/>
                <w:szCs w:val="24"/>
              </w:rPr>
              <w:t>1.7%</w:t>
            </w:r>
          </w:p>
        </w:tc>
        <w:tc>
          <w:tcPr>
            <w:tcW w:w="1134" w:type="dxa"/>
            <w:tcBorders>
              <w:top w:val="nil"/>
              <w:left w:val="nil"/>
              <w:bottom w:val="single" w:sz="4" w:space="0" w:color="auto"/>
              <w:right w:val="single" w:sz="4" w:space="0" w:color="auto"/>
            </w:tcBorders>
            <w:shd w:val="clear" w:color="auto" w:fill="auto"/>
            <w:noWrap/>
            <w:vAlign w:val="bottom"/>
            <w:hideMark/>
          </w:tcPr>
          <w:p w:rsidR="00DC2C46" w:rsidRPr="00054E92" w:rsidRDefault="00DC2C46" w:rsidP="00DC2C46">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19.0%</w:t>
            </w:r>
          </w:p>
        </w:tc>
        <w:tc>
          <w:tcPr>
            <w:tcW w:w="1057" w:type="dxa"/>
            <w:tcBorders>
              <w:top w:val="nil"/>
              <w:left w:val="nil"/>
              <w:bottom w:val="single" w:sz="4" w:space="0" w:color="auto"/>
              <w:right w:val="single" w:sz="4" w:space="0" w:color="auto"/>
            </w:tcBorders>
            <w:shd w:val="clear" w:color="auto" w:fill="auto"/>
            <w:noWrap/>
            <w:vAlign w:val="bottom"/>
            <w:hideMark/>
          </w:tcPr>
          <w:p w:rsidR="00DC2C46" w:rsidRPr="00054E92" w:rsidRDefault="00DC2C46" w:rsidP="00DC2C46">
            <w:pPr>
              <w:spacing w:after="0" w:line="240" w:lineRule="auto"/>
              <w:jc w:val="right"/>
              <w:rPr>
                <w:rFonts w:eastAsia="Times New Roman" w:cstheme="minorHAnsi"/>
                <w:b/>
                <w:bCs/>
                <w:i/>
                <w:iCs/>
                <w:sz w:val="24"/>
                <w:szCs w:val="24"/>
              </w:rPr>
            </w:pPr>
            <w:r w:rsidRPr="00054E92">
              <w:rPr>
                <w:rFonts w:eastAsia="Times New Roman" w:cstheme="minorHAnsi"/>
                <w:b/>
                <w:bCs/>
                <w:i/>
                <w:iCs/>
                <w:sz w:val="24"/>
                <w:szCs w:val="24"/>
              </w:rPr>
              <w:t>6.3%</w:t>
            </w:r>
          </w:p>
        </w:tc>
        <w:tc>
          <w:tcPr>
            <w:tcW w:w="1844" w:type="dxa"/>
            <w:vMerge w:val="restart"/>
            <w:tcBorders>
              <w:top w:val="nil"/>
              <w:left w:val="single" w:sz="4" w:space="0" w:color="auto"/>
              <w:bottom w:val="single" w:sz="12" w:space="0" w:color="808080"/>
              <w:right w:val="single" w:sz="8" w:space="0" w:color="auto"/>
            </w:tcBorders>
            <w:shd w:val="clear" w:color="auto" w:fill="auto"/>
            <w:noWrap/>
            <w:vAlign w:val="center"/>
            <w:hideMark/>
          </w:tcPr>
          <w:p w:rsidR="00DC2C46" w:rsidRPr="00054E92" w:rsidRDefault="00DC2C46" w:rsidP="00DC2C46">
            <w:pPr>
              <w:spacing w:after="0" w:line="240" w:lineRule="auto"/>
              <w:jc w:val="center"/>
              <w:rPr>
                <w:rFonts w:eastAsia="Times New Roman" w:cstheme="minorHAnsi"/>
                <w:b/>
                <w:bCs/>
                <w:i/>
                <w:iCs/>
                <w:color w:val="000000"/>
                <w:sz w:val="24"/>
                <w:szCs w:val="24"/>
              </w:rPr>
            </w:pPr>
            <w:r w:rsidRPr="00054E92">
              <w:rPr>
                <w:rFonts w:eastAsia="Times New Roman" w:cstheme="minorHAnsi"/>
                <w:b/>
                <w:bCs/>
                <w:i/>
                <w:iCs/>
                <w:color w:val="000000"/>
                <w:sz w:val="24"/>
                <w:szCs w:val="24"/>
              </w:rPr>
              <w:t>3.4%</w:t>
            </w:r>
          </w:p>
        </w:tc>
      </w:tr>
      <w:tr w:rsidR="00DC2C46" w:rsidRPr="00054E92" w:rsidTr="00DB6B91">
        <w:trPr>
          <w:trHeight w:val="276"/>
        </w:trPr>
        <w:tc>
          <w:tcPr>
            <w:tcW w:w="2947" w:type="dxa"/>
            <w:tcBorders>
              <w:top w:val="nil"/>
              <w:left w:val="single" w:sz="8" w:space="0" w:color="auto"/>
              <w:bottom w:val="single" w:sz="12" w:space="0" w:color="808080"/>
              <w:right w:val="single" w:sz="8" w:space="0" w:color="auto"/>
            </w:tcBorders>
            <w:shd w:val="clear" w:color="auto" w:fill="auto"/>
            <w:vAlign w:val="bottom"/>
            <w:hideMark/>
          </w:tcPr>
          <w:p w:rsidR="00DC2C46" w:rsidRPr="00054E92" w:rsidRDefault="00DC2C46" w:rsidP="00DC2C46">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Somerset County  CPI</w:t>
            </w:r>
          </w:p>
        </w:tc>
        <w:tc>
          <w:tcPr>
            <w:tcW w:w="1114" w:type="dxa"/>
            <w:tcBorders>
              <w:top w:val="nil"/>
              <w:left w:val="nil"/>
              <w:bottom w:val="single" w:sz="12" w:space="0" w:color="808080"/>
              <w:right w:val="single" w:sz="4" w:space="0" w:color="auto"/>
            </w:tcBorders>
            <w:shd w:val="clear" w:color="auto" w:fill="auto"/>
            <w:noWrap/>
            <w:vAlign w:val="bottom"/>
            <w:hideMark/>
          </w:tcPr>
          <w:p w:rsidR="00DC2C46" w:rsidRPr="00054E92" w:rsidRDefault="00DC2C46" w:rsidP="00DC2C46">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17.5%</w:t>
            </w:r>
          </w:p>
        </w:tc>
        <w:tc>
          <w:tcPr>
            <w:tcW w:w="1134" w:type="dxa"/>
            <w:tcBorders>
              <w:top w:val="nil"/>
              <w:left w:val="nil"/>
              <w:bottom w:val="single" w:sz="12" w:space="0" w:color="808080"/>
              <w:right w:val="single" w:sz="4" w:space="0" w:color="auto"/>
            </w:tcBorders>
            <w:shd w:val="clear" w:color="auto" w:fill="auto"/>
            <w:noWrap/>
            <w:vAlign w:val="bottom"/>
            <w:hideMark/>
          </w:tcPr>
          <w:p w:rsidR="00DC2C46" w:rsidRPr="00054E92" w:rsidRDefault="00DC2C46" w:rsidP="00DC2C46">
            <w:pPr>
              <w:spacing w:after="0" w:line="240" w:lineRule="auto"/>
              <w:jc w:val="center"/>
              <w:rPr>
                <w:rFonts w:eastAsia="Times New Roman" w:cstheme="minorHAnsi"/>
                <w:i/>
                <w:iCs/>
                <w:color w:val="000000"/>
                <w:sz w:val="24"/>
                <w:szCs w:val="24"/>
              </w:rPr>
            </w:pPr>
            <w:r w:rsidRPr="00054E92">
              <w:rPr>
                <w:rFonts w:eastAsia="Times New Roman" w:cstheme="minorHAnsi"/>
                <w:i/>
                <w:iCs/>
                <w:color w:val="000000"/>
                <w:sz w:val="24"/>
                <w:szCs w:val="24"/>
              </w:rPr>
              <w:t>1.9%</w:t>
            </w:r>
          </w:p>
        </w:tc>
        <w:tc>
          <w:tcPr>
            <w:tcW w:w="1825" w:type="dxa"/>
            <w:vMerge/>
            <w:tcBorders>
              <w:top w:val="nil"/>
              <w:left w:val="single" w:sz="4" w:space="0" w:color="auto"/>
              <w:bottom w:val="single" w:sz="12" w:space="0" w:color="808080"/>
              <w:right w:val="single" w:sz="8" w:space="0" w:color="auto"/>
            </w:tcBorders>
            <w:vAlign w:val="center"/>
            <w:hideMark/>
          </w:tcPr>
          <w:p w:rsidR="00DC2C46" w:rsidRPr="00054E92" w:rsidRDefault="00DC2C46" w:rsidP="00DC2C46">
            <w:pPr>
              <w:spacing w:after="0" w:line="240" w:lineRule="auto"/>
              <w:rPr>
                <w:rFonts w:eastAsia="Times New Roman" w:cstheme="minorHAnsi"/>
                <w:b/>
                <w:bCs/>
                <w:i/>
                <w:iCs/>
                <w:color w:val="000000"/>
                <w:sz w:val="24"/>
                <w:szCs w:val="24"/>
              </w:rPr>
            </w:pPr>
          </w:p>
        </w:tc>
        <w:tc>
          <w:tcPr>
            <w:tcW w:w="1134" w:type="dxa"/>
            <w:tcBorders>
              <w:top w:val="nil"/>
              <w:left w:val="nil"/>
              <w:bottom w:val="single" w:sz="12" w:space="0" w:color="808080"/>
              <w:right w:val="single" w:sz="4" w:space="0" w:color="auto"/>
            </w:tcBorders>
            <w:shd w:val="clear" w:color="auto" w:fill="auto"/>
            <w:noWrap/>
            <w:vAlign w:val="bottom"/>
            <w:hideMark/>
          </w:tcPr>
          <w:p w:rsidR="00DC2C46" w:rsidRPr="00054E92" w:rsidRDefault="00DC2C46" w:rsidP="00DC2C46">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8.8%</w:t>
            </w:r>
          </w:p>
        </w:tc>
        <w:tc>
          <w:tcPr>
            <w:tcW w:w="1057" w:type="dxa"/>
            <w:tcBorders>
              <w:top w:val="nil"/>
              <w:left w:val="nil"/>
              <w:bottom w:val="single" w:sz="12" w:space="0" w:color="808080"/>
              <w:right w:val="single" w:sz="4" w:space="0" w:color="auto"/>
            </w:tcBorders>
            <w:shd w:val="clear" w:color="auto" w:fill="auto"/>
            <w:noWrap/>
            <w:vAlign w:val="bottom"/>
            <w:hideMark/>
          </w:tcPr>
          <w:p w:rsidR="00DC2C46" w:rsidRPr="00054E92" w:rsidRDefault="00DC2C46" w:rsidP="00DC2C46">
            <w:pPr>
              <w:spacing w:after="0" w:line="240" w:lineRule="auto"/>
              <w:jc w:val="right"/>
              <w:rPr>
                <w:rFonts w:eastAsia="Times New Roman" w:cstheme="minorHAnsi"/>
                <w:i/>
                <w:iCs/>
                <w:sz w:val="24"/>
                <w:szCs w:val="24"/>
              </w:rPr>
            </w:pPr>
            <w:r w:rsidRPr="00054E92">
              <w:rPr>
                <w:rFonts w:eastAsia="Times New Roman" w:cstheme="minorHAnsi"/>
                <w:i/>
                <w:iCs/>
                <w:sz w:val="24"/>
                <w:szCs w:val="24"/>
              </w:rPr>
              <w:t>2.9%</w:t>
            </w:r>
          </w:p>
        </w:tc>
        <w:tc>
          <w:tcPr>
            <w:tcW w:w="1844" w:type="dxa"/>
            <w:vMerge/>
            <w:tcBorders>
              <w:top w:val="nil"/>
              <w:left w:val="single" w:sz="4" w:space="0" w:color="auto"/>
              <w:bottom w:val="single" w:sz="12" w:space="0" w:color="808080"/>
              <w:right w:val="single" w:sz="8" w:space="0" w:color="auto"/>
            </w:tcBorders>
            <w:vAlign w:val="center"/>
            <w:hideMark/>
          </w:tcPr>
          <w:p w:rsidR="00DC2C46" w:rsidRPr="00054E92" w:rsidRDefault="00DC2C46" w:rsidP="00DC2C46">
            <w:pPr>
              <w:spacing w:after="0" w:line="240" w:lineRule="auto"/>
              <w:rPr>
                <w:rFonts w:eastAsia="Times New Roman" w:cstheme="minorHAnsi"/>
                <w:b/>
                <w:bCs/>
                <w:i/>
                <w:iCs/>
                <w:color w:val="000000"/>
                <w:sz w:val="24"/>
                <w:szCs w:val="24"/>
              </w:rPr>
            </w:pPr>
          </w:p>
        </w:tc>
      </w:tr>
      <w:tr w:rsidR="00DC2C46" w:rsidRPr="00054E92" w:rsidTr="00DB6B91">
        <w:trPr>
          <w:trHeight w:val="276"/>
        </w:trPr>
        <w:tc>
          <w:tcPr>
            <w:tcW w:w="2947" w:type="dxa"/>
            <w:tcBorders>
              <w:top w:val="nil"/>
              <w:left w:val="single" w:sz="8" w:space="0" w:color="auto"/>
              <w:bottom w:val="single" w:sz="4" w:space="0" w:color="auto"/>
              <w:right w:val="single" w:sz="8" w:space="0" w:color="auto"/>
            </w:tcBorders>
            <w:shd w:val="clear" w:color="9999FF" w:fill="969696"/>
            <w:vAlign w:val="bottom"/>
            <w:hideMark/>
          </w:tcPr>
          <w:p w:rsidR="00DC2C46" w:rsidRPr="00054E92" w:rsidRDefault="00DC2C46" w:rsidP="00DC2C46">
            <w:pPr>
              <w:spacing w:after="0" w:line="240" w:lineRule="auto"/>
              <w:rPr>
                <w:rFonts w:eastAsia="Times New Roman" w:cstheme="minorHAnsi"/>
                <w:b/>
                <w:bCs/>
                <w:color w:val="000000"/>
                <w:sz w:val="24"/>
                <w:szCs w:val="24"/>
              </w:rPr>
            </w:pPr>
            <w:r w:rsidRPr="00054E92">
              <w:rPr>
                <w:rFonts w:eastAsia="Times New Roman" w:cstheme="minorHAnsi"/>
                <w:b/>
                <w:bCs/>
                <w:color w:val="000000"/>
                <w:sz w:val="24"/>
                <w:szCs w:val="24"/>
              </w:rPr>
              <w:t>Cumberland County SSS</w:t>
            </w:r>
          </w:p>
        </w:tc>
        <w:tc>
          <w:tcPr>
            <w:tcW w:w="1114" w:type="dxa"/>
            <w:tcBorders>
              <w:top w:val="nil"/>
              <w:left w:val="nil"/>
              <w:bottom w:val="single" w:sz="4" w:space="0" w:color="auto"/>
              <w:right w:val="single" w:sz="4" w:space="0" w:color="auto"/>
            </w:tcBorders>
            <w:shd w:val="clear" w:color="9999FF" w:fill="969696"/>
            <w:noWrap/>
            <w:vAlign w:val="bottom"/>
            <w:hideMark/>
          </w:tcPr>
          <w:p w:rsidR="00DC2C46" w:rsidRPr="00054E92" w:rsidRDefault="00DC2C46" w:rsidP="00DC2C46">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24.7%</w:t>
            </w:r>
          </w:p>
        </w:tc>
        <w:tc>
          <w:tcPr>
            <w:tcW w:w="1134" w:type="dxa"/>
            <w:tcBorders>
              <w:top w:val="nil"/>
              <w:left w:val="nil"/>
              <w:bottom w:val="single" w:sz="4" w:space="0" w:color="auto"/>
              <w:right w:val="single" w:sz="4" w:space="0" w:color="auto"/>
            </w:tcBorders>
            <w:shd w:val="clear" w:color="9999FF" w:fill="969696"/>
            <w:noWrap/>
            <w:vAlign w:val="bottom"/>
            <w:hideMark/>
          </w:tcPr>
          <w:p w:rsidR="00DC2C46" w:rsidRPr="00054E92" w:rsidRDefault="00DC2C46" w:rsidP="00DC2C46">
            <w:pPr>
              <w:spacing w:after="0" w:line="240" w:lineRule="auto"/>
              <w:jc w:val="center"/>
              <w:rPr>
                <w:rFonts w:eastAsia="Times New Roman" w:cstheme="minorHAnsi"/>
                <w:b/>
                <w:bCs/>
                <w:i/>
                <w:iCs/>
                <w:color w:val="000000"/>
                <w:sz w:val="24"/>
                <w:szCs w:val="24"/>
              </w:rPr>
            </w:pPr>
            <w:r w:rsidRPr="00054E92">
              <w:rPr>
                <w:rFonts w:eastAsia="Times New Roman" w:cstheme="minorHAnsi"/>
                <w:b/>
                <w:bCs/>
                <w:i/>
                <w:iCs/>
                <w:color w:val="000000"/>
                <w:sz w:val="24"/>
                <w:szCs w:val="24"/>
              </w:rPr>
              <w:t>2.7%</w:t>
            </w:r>
          </w:p>
        </w:tc>
        <w:tc>
          <w:tcPr>
            <w:tcW w:w="1825" w:type="dxa"/>
            <w:vMerge w:val="restart"/>
            <w:tcBorders>
              <w:top w:val="nil"/>
              <w:left w:val="single" w:sz="4" w:space="0" w:color="auto"/>
              <w:bottom w:val="single" w:sz="4" w:space="0" w:color="auto"/>
              <w:right w:val="single" w:sz="8" w:space="0" w:color="auto"/>
            </w:tcBorders>
            <w:shd w:val="clear" w:color="9999FF" w:fill="969696"/>
            <w:noWrap/>
            <w:vAlign w:val="center"/>
            <w:hideMark/>
          </w:tcPr>
          <w:p w:rsidR="00DC2C46" w:rsidRPr="00054E92" w:rsidRDefault="00DC2C46" w:rsidP="00DC2C46">
            <w:pPr>
              <w:spacing w:after="0" w:line="240" w:lineRule="auto"/>
              <w:jc w:val="center"/>
              <w:rPr>
                <w:rFonts w:eastAsia="Times New Roman" w:cstheme="minorHAnsi"/>
                <w:b/>
                <w:bCs/>
                <w:i/>
                <w:iCs/>
                <w:color w:val="000000"/>
                <w:sz w:val="24"/>
                <w:szCs w:val="24"/>
              </w:rPr>
            </w:pPr>
            <w:r w:rsidRPr="00054E92">
              <w:rPr>
                <w:rFonts w:eastAsia="Times New Roman" w:cstheme="minorHAnsi"/>
                <w:b/>
                <w:bCs/>
                <w:i/>
                <w:iCs/>
                <w:color w:val="000000"/>
                <w:sz w:val="24"/>
                <w:szCs w:val="24"/>
              </w:rPr>
              <w:t>0.8%</w:t>
            </w:r>
          </w:p>
        </w:tc>
        <w:tc>
          <w:tcPr>
            <w:tcW w:w="1134" w:type="dxa"/>
            <w:tcBorders>
              <w:top w:val="nil"/>
              <w:left w:val="nil"/>
              <w:bottom w:val="single" w:sz="4" w:space="0" w:color="auto"/>
              <w:right w:val="single" w:sz="4" w:space="0" w:color="auto"/>
            </w:tcBorders>
            <w:shd w:val="clear" w:color="9999FF" w:fill="969696"/>
            <w:noWrap/>
            <w:vAlign w:val="bottom"/>
            <w:hideMark/>
          </w:tcPr>
          <w:p w:rsidR="00DC2C46" w:rsidRPr="00054E92" w:rsidRDefault="00DC2C46" w:rsidP="00DC2C46">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16.2%</w:t>
            </w:r>
          </w:p>
        </w:tc>
        <w:tc>
          <w:tcPr>
            <w:tcW w:w="1057" w:type="dxa"/>
            <w:tcBorders>
              <w:top w:val="nil"/>
              <w:left w:val="nil"/>
              <w:bottom w:val="single" w:sz="4" w:space="0" w:color="auto"/>
              <w:right w:val="single" w:sz="4" w:space="0" w:color="auto"/>
            </w:tcBorders>
            <w:shd w:val="clear" w:color="000000" w:fill="969696"/>
            <w:noWrap/>
            <w:vAlign w:val="bottom"/>
            <w:hideMark/>
          </w:tcPr>
          <w:p w:rsidR="00DC2C46" w:rsidRPr="00054E92" w:rsidRDefault="00DC2C46" w:rsidP="00DC2C46">
            <w:pPr>
              <w:spacing w:after="0" w:line="240" w:lineRule="auto"/>
              <w:jc w:val="right"/>
              <w:rPr>
                <w:rFonts w:eastAsia="Times New Roman" w:cstheme="minorHAnsi"/>
                <w:b/>
                <w:bCs/>
                <w:i/>
                <w:iCs/>
                <w:sz w:val="24"/>
                <w:szCs w:val="24"/>
              </w:rPr>
            </w:pPr>
            <w:r w:rsidRPr="00054E92">
              <w:rPr>
                <w:rFonts w:eastAsia="Times New Roman" w:cstheme="minorHAnsi"/>
                <w:b/>
                <w:bCs/>
                <w:i/>
                <w:iCs/>
                <w:sz w:val="24"/>
                <w:szCs w:val="24"/>
              </w:rPr>
              <w:t>5.4%</w:t>
            </w:r>
          </w:p>
        </w:tc>
        <w:tc>
          <w:tcPr>
            <w:tcW w:w="1844" w:type="dxa"/>
            <w:vMerge w:val="restart"/>
            <w:tcBorders>
              <w:top w:val="nil"/>
              <w:left w:val="single" w:sz="4" w:space="0" w:color="auto"/>
              <w:bottom w:val="single" w:sz="4" w:space="0" w:color="auto"/>
              <w:right w:val="single" w:sz="8" w:space="0" w:color="auto"/>
            </w:tcBorders>
            <w:shd w:val="clear" w:color="9999FF" w:fill="969696"/>
            <w:noWrap/>
            <w:vAlign w:val="center"/>
            <w:hideMark/>
          </w:tcPr>
          <w:p w:rsidR="00DC2C46" w:rsidRPr="00054E92" w:rsidRDefault="00DC2C46" w:rsidP="00DC2C46">
            <w:pPr>
              <w:spacing w:after="0" w:line="240" w:lineRule="auto"/>
              <w:jc w:val="center"/>
              <w:rPr>
                <w:rFonts w:eastAsia="Times New Roman" w:cstheme="minorHAnsi"/>
                <w:b/>
                <w:bCs/>
                <w:i/>
                <w:iCs/>
                <w:color w:val="000000"/>
                <w:sz w:val="24"/>
                <w:szCs w:val="24"/>
              </w:rPr>
            </w:pPr>
            <w:r w:rsidRPr="00054E92">
              <w:rPr>
                <w:rFonts w:eastAsia="Times New Roman" w:cstheme="minorHAnsi"/>
                <w:b/>
                <w:bCs/>
                <w:i/>
                <w:iCs/>
                <w:color w:val="000000"/>
                <w:sz w:val="24"/>
                <w:szCs w:val="24"/>
              </w:rPr>
              <w:t>2.5%</w:t>
            </w:r>
          </w:p>
        </w:tc>
      </w:tr>
      <w:tr w:rsidR="00DC2C46" w:rsidRPr="00054E92" w:rsidTr="00DB6B91">
        <w:trPr>
          <w:trHeight w:val="276"/>
        </w:trPr>
        <w:tc>
          <w:tcPr>
            <w:tcW w:w="2947" w:type="dxa"/>
            <w:tcBorders>
              <w:top w:val="nil"/>
              <w:left w:val="single" w:sz="8" w:space="0" w:color="auto"/>
              <w:bottom w:val="single" w:sz="4" w:space="0" w:color="auto"/>
              <w:right w:val="single" w:sz="8" w:space="0" w:color="auto"/>
            </w:tcBorders>
            <w:shd w:val="clear" w:color="9999FF" w:fill="969696"/>
            <w:vAlign w:val="bottom"/>
            <w:hideMark/>
          </w:tcPr>
          <w:p w:rsidR="00DC2C46" w:rsidRPr="00054E92" w:rsidRDefault="00DC2C46" w:rsidP="00DC2C46">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Cumberland County CPI</w:t>
            </w:r>
          </w:p>
        </w:tc>
        <w:tc>
          <w:tcPr>
            <w:tcW w:w="1114" w:type="dxa"/>
            <w:tcBorders>
              <w:top w:val="nil"/>
              <w:left w:val="nil"/>
              <w:bottom w:val="single" w:sz="4" w:space="0" w:color="auto"/>
              <w:right w:val="single" w:sz="4" w:space="0" w:color="auto"/>
            </w:tcBorders>
            <w:shd w:val="clear" w:color="9999FF" w:fill="969696"/>
            <w:noWrap/>
            <w:vAlign w:val="bottom"/>
            <w:hideMark/>
          </w:tcPr>
          <w:p w:rsidR="00DC2C46" w:rsidRPr="00054E92" w:rsidRDefault="00DC2C46" w:rsidP="00DC2C46">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17.5%</w:t>
            </w:r>
          </w:p>
        </w:tc>
        <w:tc>
          <w:tcPr>
            <w:tcW w:w="1134" w:type="dxa"/>
            <w:tcBorders>
              <w:top w:val="nil"/>
              <w:left w:val="nil"/>
              <w:bottom w:val="single" w:sz="4" w:space="0" w:color="auto"/>
              <w:right w:val="single" w:sz="4" w:space="0" w:color="auto"/>
            </w:tcBorders>
            <w:shd w:val="clear" w:color="9999FF" w:fill="969696"/>
            <w:noWrap/>
            <w:vAlign w:val="bottom"/>
            <w:hideMark/>
          </w:tcPr>
          <w:p w:rsidR="00DC2C46" w:rsidRPr="00054E92" w:rsidRDefault="00DC2C46" w:rsidP="00DC2C46">
            <w:pPr>
              <w:spacing w:after="0" w:line="240" w:lineRule="auto"/>
              <w:jc w:val="center"/>
              <w:rPr>
                <w:rFonts w:eastAsia="Times New Roman" w:cstheme="minorHAnsi"/>
                <w:i/>
                <w:iCs/>
                <w:color w:val="000000"/>
                <w:sz w:val="24"/>
                <w:szCs w:val="24"/>
              </w:rPr>
            </w:pPr>
            <w:r w:rsidRPr="00054E92">
              <w:rPr>
                <w:rFonts w:eastAsia="Times New Roman" w:cstheme="minorHAnsi"/>
                <w:i/>
                <w:iCs/>
                <w:color w:val="000000"/>
                <w:sz w:val="24"/>
                <w:szCs w:val="24"/>
              </w:rPr>
              <w:t>1.9%</w:t>
            </w:r>
          </w:p>
        </w:tc>
        <w:tc>
          <w:tcPr>
            <w:tcW w:w="1825" w:type="dxa"/>
            <w:vMerge/>
            <w:tcBorders>
              <w:top w:val="nil"/>
              <w:left w:val="single" w:sz="4" w:space="0" w:color="auto"/>
              <w:bottom w:val="single" w:sz="4" w:space="0" w:color="auto"/>
              <w:right w:val="single" w:sz="8" w:space="0" w:color="auto"/>
            </w:tcBorders>
            <w:vAlign w:val="center"/>
            <w:hideMark/>
          </w:tcPr>
          <w:p w:rsidR="00DC2C46" w:rsidRPr="00054E92" w:rsidRDefault="00DC2C46" w:rsidP="00DC2C46">
            <w:pPr>
              <w:spacing w:after="0" w:line="240" w:lineRule="auto"/>
              <w:rPr>
                <w:rFonts w:eastAsia="Times New Roman" w:cstheme="minorHAnsi"/>
                <w:b/>
                <w:bCs/>
                <w:i/>
                <w:iCs/>
                <w:color w:val="000000"/>
                <w:sz w:val="24"/>
                <w:szCs w:val="24"/>
              </w:rPr>
            </w:pPr>
          </w:p>
        </w:tc>
        <w:tc>
          <w:tcPr>
            <w:tcW w:w="1134" w:type="dxa"/>
            <w:tcBorders>
              <w:top w:val="nil"/>
              <w:left w:val="nil"/>
              <w:bottom w:val="single" w:sz="4" w:space="0" w:color="auto"/>
              <w:right w:val="single" w:sz="4" w:space="0" w:color="auto"/>
            </w:tcBorders>
            <w:shd w:val="clear" w:color="9999FF" w:fill="969696"/>
            <w:noWrap/>
            <w:vAlign w:val="bottom"/>
            <w:hideMark/>
          </w:tcPr>
          <w:p w:rsidR="00DC2C46" w:rsidRPr="00054E92" w:rsidRDefault="00DC2C46" w:rsidP="00DC2C46">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8.8%</w:t>
            </w:r>
          </w:p>
        </w:tc>
        <w:tc>
          <w:tcPr>
            <w:tcW w:w="1057" w:type="dxa"/>
            <w:tcBorders>
              <w:top w:val="nil"/>
              <w:left w:val="nil"/>
              <w:bottom w:val="single" w:sz="4" w:space="0" w:color="auto"/>
              <w:right w:val="single" w:sz="4" w:space="0" w:color="auto"/>
            </w:tcBorders>
            <w:shd w:val="clear" w:color="000000" w:fill="969696"/>
            <w:noWrap/>
            <w:vAlign w:val="bottom"/>
            <w:hideMark/>
          </w:tcPr>
          <w:p w:rsidR="00DC2C46" w:rsidRPr="00054E92" w:rsidRDefault="00DC2C46" w:rsidP="00DC2C46">
            <w:pPr>
              <w:spacing w:after="0" w:line="240" w:lineRule="auto"/>
              <w:jc w:val="right"/>
              <w:rPr>
                <w:rFonts w:eastAsia="Times New Roman" w:cstheme="minorHAnsi"/>
                <w:i/>
                <w:iCs/>
                <w:sz w:val="24"/>
                <w:szCs w:val="24"/>
              </w:rPr>
            </w:pPr>
            <w:r w:rsidRPr="00054E92">
              <w:rPr>
                <w:rFonts w:eastAsia="Times New Roman" w:cstheme="minorHAnsi"/>
                <w:i/>
                <w:iCs/>
                <w:sz w:val="24"/>
                <w:szCs w:val="24"/>
              </w:rPr>
              <w:t>2.9%</w:t>
            </w:r>
          </w:p>
        </w:tc>
        <w:tc>
          <w:tcPr>
            <w:tcW w:w="1844" w:type="dxa"/>
            <w:vMerge/>
            <w:tcBorders>
              <w:top w:val="nil"/>
              <w:left w:val="single" w:sz="4" w:space="0" w:color="auto"/>
              <w:bottom w:val="single" w:sz="4" w:space="0" w:color="auto"/>
              <w:right w:val="single" w:sz="8" w:space="0" w:color="auto"/>
            </w:tcBorders>
            <w:vAlign w:val="center"/>
            <w:hideMark/>
          </w:tcPr>
          <w:p w:rsidR="00DC2C46" w:rsidRPr="00054E92" w:rsidRDefault="00DC2C46" w:rsidP="00DC2C46">
            <w:pPr>
              <w:spacing w:after="0" w:line="240" w:lineRule="auto"/>
              <w:rPr>
                <w:rFonts w:eastAsia="Times New Roman" w:cstheme="minorHAnsi"/>
                <w:b/>
                <w:bCs/>
                <w:i/>
                <w:iCs/>
                <w:color w:val="000000"/>
                <w:sz w:val="24"/>
                <w:szCs w:val="24"/>
              </w:rPr>
            </w:pPr>
          </w:p>
        </w:tc>
      </w:tr>
      <w:tr w:rsidR="00DC2C46" w:rsidRPr="00054E92" w:rsidTr="00DB6B91">
        <w:trPr>
          <w:trHeight w:val="276"/>
        </w:trPr>
        <w:tc>
          <w:tcPr>
            <w:tcW w:w="2947" w:type="dxa"/>
            <w:tcBorders>
              <w:top w:val="nil"/>
              <w:left w:val="single" w:sz="8" w:space="0" w:color="auto"/>
              <w:bottom w:val="single" w:sz="4" w:space="0" w:color="auto"/>
              <w:right w:val="single" w:sz="8" w:space="0" w:color="auto"/>
            </w:tcBorders>
            <w:shd w:val="clear" w:color="000000" w:fill="333333"/>
            <w:vAlign w:val="bottom"/>
            <w:hideMark/>
          </w:tcPr>
          <w:p w:rsidR="00DC2C46" w:rsidRPr="00054E92" w:rsidRDefault="00DC2C46" w:rsidP="00DC2C46">
            <w:pPr>
              <w:spacing w:after="0" w:line="240" w:lineRule="auto"/>
              <w:rPr>
                <w:rFonts w:eastAsia="Times New Roman" w:cstheme="minorHAnsi"/>
                <w:b/>
                <w:bCs/>
                <w:color w:val="FFFFFF"/>
                <w:sz w:val="24"/>
                <w:szCs w:val="24"/>
              </w:rPr>
            </w:pPr>
            <w:r w:rsidRPr="00054E92">
              <w:rPr>
                <w:rFonts w:eastAsia="Times New Roman" w:cstheme="minorHAnsi"/>
                <w:b/>
                <w:bCs/>
                <w:color w:val="FFFFFF"/>
                <w:sz w:val="24"/>
                <w:szCs w:val="24"/>
              </w:rPr>
              <w:t xml:space="preserve">PENNSYLVANIA </w:t>
            </w:r>
          </w:p>
        </w:tc>
        <w:tc>
          <w:tcPr>
            <w:tcW w:w="4073" w:type="dxa"/>
            <w:gridSpan w:val="3"/>
            <w:tcBorders>
              <w:top w:val="single" w:sz="4" w:space="0" w:color="auto"/>
              <w:left w:val="nil"/>
              <w:bottom w:val="single" w:sz="4" w:space="0" w:color="auto"/>
              <w:right w:val="single" w:sz="8" w:space="0" w:color="000000"/>
            </w:tcBorders>
            <w:shd w:val="clear" w:color="000000" w:fill="333333"/>
            <w:vAlign w:val="center"/>
            <w:hideMark/>
          </w:tcPr>
          <w:p w:rsidR="00DC2C46" w:rsidRPr="00054E92" w:rsidRDefault="00DC2C46" w:rsidP="00DC2C46">
            <w:pPr>
              <w:spacing w:after="0" w:line="240" w:lineRule="auto"/>
              <w:jc w:val="center"/>
              <w:rPr>
                <w:rFonts w:eastAsia="Times New Roman" w:cstheme="minorHAnsi"/>
                <w:b/>
                <w:bCs/>
                <w:color w:val="FFFFFF"/>
                <w:sz w:val="24"/>
                <w:szCs w:val="24"/>
              </w:rPr>
            </w:pPr>
            <w:r w:rsidRPr="00054E92">
              <w:rPr>
                <w:rFonts w:eastAsia="Times New Roman" w:cstheme="minorHAnsi"/>
                <w:b/>
                <w:bCs/>
                <w:color w:val="FFFFFF"/>
                <w:sz w:val="24"/>
                <w:szCs w:val="24"/>
              </w:rPr>
              <w:t>1999-2006</w:t>
            </w:r>
          </w:p>
        </w:tc>
        <w:tc>
          <w:tcPr>
            <w:tcW w:w="4035" w:type="dxa"/>
            <w:gridSpan w:val="3"/>
            <w:tcBorders>
              <w:top w:val="single" w:sz="4" w:space="0" w:color="auto"/>
              <w:left w:val="nil"/>
              <w:bottom w:val="single" w:sz="4" w:space="0" w:color="auto"/>
              <w:right w:val="single" w:sz="8" w:space="0" w:color="000000"/>
            </w:tcBorders>
            <w:shd w:val="clear" w:color="000000" w:fill="333333"/>
            <w:vAlign w:val="center"/>
            <w:hideMark/>
          </w:tcPr>
          <w:p w:rsidR="00DC2C46" w:rsidRPr="00054E92" w:rsidRDefault="00DC2C46" w:rsidP="00DC2C46">
            <w:pPr>
              <w:spacing w:after="0" w:line="240" w:lineRule="auto"/>
              <w:jc w:val="center"/>
              <w:rPr>
                <w:rFonts w:eastAsia="Times New Roman" w:cstheme="minorHAnsi"/>
                <w:b/>
                <w:bCs/>
                <w:color w:val="FFFFFF"/>
                <w:sz w:val="24"/>
                <w:szCs w:val="24"/>
              </w:rPr>
            </w:pPr>
            <w:r w:rsidRPr="00054E92">
              <w:rPr>
                <w:rFonts w:eastAsia="Times New Roman" w:cstheme="minorHAnsi"/>
                <w:b/>
                <w:bCs/>
                <w:color w:val="FFFFFF"/>
                <w:sz w:val="24"/>
                <w:szCs w:val="24"/>
              </w:rPr>
              <w:t xml:space="preserve">2006-2008 </w:t>
            </w:r>
          </w:p>
        </w:tc>
      </w:tr>
      <w:tr w:rsidR="00DC2C46" w:rsidRPr="00054E92" w:rsidTr="00DB6B91">
        <w:trPr>
          <w:trHeight w:val="276"/>
        </w:trPr>
        <w:tc>
          <w:tcPr>
            <w:tcW w:w="2947" w:type="dxa"/>
            <w:tcBorders>
              <w:top w:val="nil"/>
              <w:left w:val="single" w:sz="8" w:space="0" w:color="auto"/>
              <w:bottom w:val="single" w:sz="4" w:space="0" w:color="auto"/>
              <w:right w:val="single" w:sz="8" w:space="0" w:color="auto"/>
            </w:tcBorders>
            <w:shd w:val="clear" w:color="auto" w:fill="auto"/>
            <w:vAlign w:val="bottom"/>
            <w:hideMark/>
          </w:tcPr>
          <w:p w:rsidR="00DC2C46" w:rsidRPr="00054E92" w:rsidRDefault="00DC2C46" w:rsidP="00DC2C46">
            <w:pPr>
              <w:spacing w:after="0" w:line="240" w:lineRule="auto"/>
              <w:rPr>
                <w:rFonts w:eastAsia="Times New Roman" w:cstheme="minorHAnsi"/>
                <w:b/>
                <w:bCs/>
                <w:color w:val="000000"/>
                <w:sz w:val="24"/>
                <w:szCs w:val="24"/>
              </w:rPr>
            </w:pPr>
            <w:r w:rsidRPr="00054E92">
              <w:rPr>
                <w:rFonts w:eastAsia="Times New Roman" w:cstheme="minorHAnsi"/>
                <w:b/>
                <w:bCs/>
                <w:color w:val="000000"/>
                <w:sz w:val="24"/>
                <w:szCs w:val="24"/>
              </w:rPr>
              <w:t>Philadelphia County SSS</w:t>
            </w:r>
          </w:p>
        </w:tc>
        <w:tc>
          <w:tcPr>
            <w:tcW w:w="1114" w:type="dxa"/>
            <w:tcBorders>
              <w:top w:val="nil"/>
              <w:left w:val="nil"/>
              <w:bottom w:val="single" w:sz="4" w:space="0" w:color="auto"/>
              <w:right w:val="single" w:sz="4" w:space="0" w:color="auto"/>
            </w:tcBorders>
            <w:shd w:val="clear" w:color="auto" w:fill="auto"/>
            <w:noWrap/>
            <w:vAlign w:val="bottom"/>
            <w:hideMark/>
          </w:tcPr>
          <w:p w:rsidR="00DC2C46" w:rsidRPr="00054E92" w:rsidRDefault="00DC2C46" w:rsidP="00DC2C46">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30.8%</w:t>
            </w:r>
          </w:p>
        </w:tc>
        <w:tc>
          <w:tcPr>
            <w:tcW w:w="1134" w:type="dxa"/>
            <w:tcBorders>
              <w:top w:val="nil"/>
              <w:left w:val="nil"/>
              <w:bottom w:val="single" w:sz="4" w:space="0" w:color="auto"/>
              <w:right w:val="single" w:sz="4" w:space="0" w:color="auto"/>
            </w:tcBorders>
            <w:shd w:val="clear" w:color="auto" w:fill="auto"/>
            <w:noWrap/>
            <w:vAlign w:val="bottom"/>
            <w:hideMark/>
          </w:tcPr>
          <w:p w:rsidR="00DC2C46" w:rsidRPr="00054E92" w:rsidRDefault="00DC2C46" w:rsidP="00DC2C46">
            <w:pPr>
              <w:spacing w:after="0" w:line="240" w:lineRule="auto"/>
              <w:jc w:val="center"/>
              <w:rPr>
                <w:rFonts w:eastAsia="Times New Roman" w:cstheme="minorHAnsi"/>
                <w:b/>
                <w:bCs/>
                <w:i/>
                <w:iCs/>
                <w:color w:val="000000"/>
                <w:sz w:val="24"/>
                <w:szCs w:val="24"/>
              </w:rPr>
            </w:pPr>
            <w:r w:rsidRPr="00054E92">
              <w:rPr>
                <w:rFonts w:eastAsia="Times New Roman" w:cstheme="minorHAnsi"/>
                <w:b/>
                <w:bCs/>
                <w:i/>
                <w:iCs/>
                <w:color w:val="000000"/>
                <w:sz w:val="24"/>
                <w:szCs w:val="24"/>
              </w:rPr>
              <w:t>4.4%</w:t>
            </w:r>
          </w:p>
        </w:tc>
        <w:tc>
          <w:tcPr>
            <w:tcW w:w="1825" w:type="dxa"/>
            <w:vMerge w:val="restart"/>
            <w:tcBorders>
              <w:top w:val="nil"/>
              <w:left w:val="single" w:sz="4" w:space="0" w:color="auto"/>
              <w:bottom w:val="single" w:sz="12" w:space="0" w:color="808080"/>
              <w:right w:val="single" w:sz="8" w:space="0" w:color="auto"/>
            </w:tcBorders>
            <w:shd w:val="clear" w:color="auto" w:fill="auto"/>
            <w:noWrap/>
            <w:vAlign w:val="center"/>
            <w:hideMark/>
          </w:tcPr>
          <w:p w:rsidR="00DC2C46" w:rsidRPr="00054E92" w:rsidRDefault="00DC2C46" w:rsidP="00DC2C46">
            <w:pPr>
              <w:spacing w:after="0" w:line="240" w:lineRule="auto"/>
              <w:jc w:val="center"/>
              <w:rPr>
                <w:rFonts w:eastAsia="Times New Roman" w:cstheme="minorHAnsi"/>
                <w:b/>
                <w:bCs/>
                <w:i/>
                <w:iCs/>
                <w:color w:val="000000"/>
                <w:sz w:val="24"/>
                <w:szCs w:val="24"/>
              </w:rPr>
            </w:pPr>
            <w:r w:rsidRPr="00054E92">
              <w:rPr>
                <w:rFonts w:eastAsia="Times New Roman" w:cstheme="minorHAnsi"/>
                <w:b/>
                <w:bCs/>
                <w:i/>
                <w:iCs/>
                <w:color w:val="000000"/>
                <w:sz w:val="24"/>
                <w:szCs w:val="24"/>
              </w:rPr>
              <w:t>1.1%</w:t>
            </w:r>
          </w:p>
        </w:tc>
        <w:tc>
          <w:tcPr>
            <w:tcW w:w="1134" w:type="dxa"/>
            <w:tcBorders>
              <w:top w:val="nil"/>
              <w:left w:val="nil"/>
              <w:bottom w:val="single" w:sz="4" w:space="0" w:color="auto"/>
              <w:right w:val="single" w:sz="4" w:space="0" w:color="auto"/>
            </w:tcBorders>
            <w:shd w:val="clear" w:color="auto" w:fill="auto"/>
            <w:noWrap/>
            <w:vAlign w:val="bottom"/>
            <w:hideMark/>
          </w:tcPr>
          <w:p w:rsidR="00DC2C46" w:rsidRPr="00054E92" w:rsidRDefault="00DC2C46" w:rsidP="00DC2C46">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12.2%</w:t>
            </w:r>
          </w:p>
        </w:tc>
        <w:tc>
          <w:tcPr>
            <w:tcW w:w="1057" w:type="dxa"/>
            <w:tcBorders>
              <w:top w:val="nil"/>
              <w:left w:val="nil"/>
              <w:bottom w:val="single" w:sz="4" w:space="0" w:color="auto"/>
              <w:right w:val="single" w:sz="4" w:space="0" w:color="auto"/>
            </w:tcBorders>
            <w:shd w:val="clear" w:color="auto" w:fill="auto"/>
            <w:noWrap/>
            <w:vAlign w:val="bottom"/>
            <w:hideMark/>
          </w:tcPr>
          <w:p w:rsidR="00DC2C46" w:rsidRPr="00054E92" w:rsidRDefault="00DC2C46" w:rsidP="00DC2C46">
            <w:pPr>
              <w:spacing w:after="0" w:line="240" w:lineRule="auto"/>
              <w:jc w:val="right"/>
              <w:rPr>
                <w:rFonts w:eastAsia="Times New Roman" w:cstheme="minorHAnsi"/>
                <w:b/>
                <w:bCs/>
                <w:i/>
                <w:iCs/>
                <w:sz w:val="24"/>
                <w:szCs w:val="24"/>
              </w:rPr>
            </w:pPr>
            <w:r w:rsidRPr="00054E92">
              <w:rPr>
                <w:rFonts w:eastAsia="Times New Roman" w:cstheme="minorHAnsi"/>
                <w:b/>
                <w:bCs/>
                <w:i/>
                <w:iCs/>
                <w:sz w:val="24"/>
                <w:szCs w:val="24"/>
              </w:rPr>
              <w:t>6.1%</w:t>
            </w:r>
          </w:p>
        </w:tc>
        <w:tc>
          <w:tcPr>
            <w:tcW w:w="1844" w:type="dxa"/>
            <w:vMerge w:val="restart"/>
            <w:tcBorders>
              <w:top w:val="nil"/>
              <w:left w:val="single" w:sz="4" w:space="0" w:color="auto"/>
              <w:bottom w:val="single" w:sz="12" w:space="0" w:color="808080"/>
              <w:right w:val="single" w:sz="8" w:space="0" w:color="auto"/>
            </w:tcBorders>
            <w:shd w:val="clear" w:color="auto" w:fill="auto"/>
            <w:noWrap/>
            <w:vAlign w:val="center"/>
            <w:hideMark/>
          </w:tcPr>
          <w:p w:rsidR="00DC2C46" w:rsidRPr="00054E92" w:rsidRDefault="00DC2C46" w:rsidP="00DC2C46">
            <w:pPr>
              <w:spacing w:after="0" w:line="240" w:lineRule="auto"/>
              <w:jc w:val="center"/>
              <w:rPr>
                <w:rFonts w:eastAsia="Times New Roman" w:cstheme="minorHAnsi"/>
                <w:b/>
                <w:bCs/>
                <w:i/>
                <w:iCs/>
                <w:color w:val="000000"/>
                <w:sz w:val="24"/>
                <w:szCs w:val="24"/>
              </w:rPr>
            </w:pPr>
            <w:r w:rsidRPr="00054E92">
              <w:rPr>
                <w:rFonts w:eastAsia="Times New Roman" w:cstheme="minorHAnsi"/>
                <w:b/>
                <w:bCs/>
                <w:i/>
                <w:iCs/>
                <w:color w:val="000000"/>
                <w:sz w:val="24"/>
                <w:szCs w:val="24"/>
              </w:rPr>
              <w:t>4.1%</w:t>
            </w:r>
          </w:p>
        </w:tc>
      </w:tr>
      <w:tr w:rsidR="00DC2C46" w:rsidRPr="00054E92" w:rsidTr="00DB6B91">
        <w:trPr>
          <w:trHeight w:val="276"/>
        </w:trPr>
        <w:tc>
          <w:tcPr>
            <w:tcW w:w="2947" w:type="dxa"/>
            <w:tcBorders>
              <w:top w:val="nil"/>
              <w:left w:val="single" w:sz="8" w:space="0" w:color="auto"/>
              <w:bottom w:val="single" w:sz="12" w:space="0" w:color="808080"/>
              <w:right w:val="single" w:sz="8" w:space="0" w:color="auto"/>
            </w:tcBorders>
            <w:shd w:val="clear" w:color="auto" w:fill="auto"/>
            <w:vAlign w:val="bottom"/>
            <w:hideMark/>
          </w:tcPr>
          <w:p w:rsidR="00DC2C46" w:rsidRPr="00054E92" w:rsidRDefault="00DC2C46" w:rsidP="00DC2C46">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Philadelphia County CPI</w:t>
            </w:r>
          </w:p>
        </w:tc>
        <w:tc>
          <w:tcPr>
            <w:tcW w:w="1114" w:type="dxa"/>
            <w:tcBorders>
              <w:top w:val="nil"/>
              <w:left w:val="nil"/>
              <w:bottom w:val="single" w:sz="12" w:space="0" w:color="808080"/>
              <w:right w:val="single" w:sz="4" w:space="0" w:color="auto"/>
            </w:tcBorders>
            <w:shd w:val="clear" w:color="auto" w:fill="auto"/>
            <w:noWrap/>
            <w:vAlign w:val="bottom"/>
            <w:hideMark/>
          </w:tcPr>
          <w:p w:rsidR="00DC2C46" w:rsidRPr="00054E92" w:rsidRDefault="00DC2C46" w:rsidP="00DC2C46">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22.9%</w:t>
            </w:r>
          </w:p>
        </w:tc>
        <w:tc>
          <w:tcPr>
            <w:tcW w:w="1134" w:type="dxa"/>
            <w:tcBorders>
              <w:top w:val="nil"/>
              <w:left w:val="nil"/>
              <w:bottom w:val="single" w:sz="12" w:space="0" w:color="808080"/>
              <w:right w:val="single" w:sz="4" w:space="0" w:color="auto"/>
            </w:tcBorders>
            <w:shd w:val="clear" w:color="auto" w:fill="auto"/>
            <w:noWrap/>
            <w:vAlign w:val="bottom"/>
            <w:hideMark/>
          </w:tcPr>
          <w:p w:rsidR="00DC2C46" w:rsidRPr="00054E92" w:rsidRDefault="00DC2C46" w:rsidP="00DC2C46">
            <w:pPr>
              <w:spacing w:after="0" w:line="240" w:lineRule="auto"/>
              <w:jc w:val="center"/>
              <w:rPr>
                <w:rFonts w:eastAsia="Times New Roman" w:cstheme="minorHAnsi"/>
                <w:i/>
                <w:iCs/>
                <w:color w:val="000000"/>
                <w:sz w:val="24"/>
                <w:szCs w:val="24"/>
              </w:rPr>
            </w:pPr>
            <w:r w:rsidRPr="00054E92">
              <w:rPr>
                <w:rFonts w:eastAsia="Times New Roman" w:cstheme="minorHAnsi"/>
                <w:i/>
                <w:iCs/>
                <w:color w:val="000000"/>
                <w:sz w:val="24"/>
                <w:szCs w:val="24"/>
              </w:rPr>
              <w:t>3.3%</w:t>
            </w:r>
          </w:p>
        </w:tc>
        <w:tc>
          <w:tcPr>
            <w:tcW w:w="1825" w:type="dxa"/>
            <w:vMerge/>
            <w:tcBorders>
              <w:top w:val="nil"/>
              <w:left w:val="single" w:sz="4" w:space="0" w:color="auto"/>
              <w:bottom w:val="single" w:sz="12" w:space="0" w:color="808080"/>
              <w:right w:val="single" w:sz="8" w:space="0" w:color="auto"/>
            </w:tcBorders>
            <w:vAlign w:val="center"/>
            <w:hideMark/>
          </w:tcPr>
          <w:p w:rsidR="00DC2C46" w:rsidRPr="00054E92" w:rsidRDefault="00DC2C46" w:rsidP="00DC2C46">
            <w:pPr>
              <w:spacing w:after="0" w:line="240" w:lineRule="auto"/>
              <w:rPr>
                <w:rFonts w:eastAsia="Times New Roman" w:cstheme="minorHAnsi"/>
                <w:b/>
                <w:bCs/>
                <w:i/>
                <w:iCs/>
                <w:color w:val="000000"/>
                <w:sz w:val="24"/>
                <w:szCs w:val="24"/>
              </w:rPr>
            </w:pPr>
          </w:p>
        </w:tc>
        <w:tc>
          <w:tcPr>
            <w:tcW w:w="1134" w:type="dxa"/>
            <w:tcBorders>
              <w:top w:val="nil"/>
              <w:left w:val="nil"/>
              <w:bottom w:val="single" w:sz="12" w:space="0" w:color="808080"/>
              <w:right w:val="single" w:sz="4" w:space="0" w:color="auto"/>
            </w:tcBorders>
            <w:shd w:val="clear" w:color="auto" w:fill="auto"/>
            <w:noWrap/>
            <w:vAlign w:val="bottom"/>
            <w:hideMark/>
          </w:tcPr>
          <w:p w:rsidR="00DC2C46" w:rsidRPr="00054E92" w:rsidRDefault="00DC2C46" w:rsidP="00DC2C46">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4.0%</w:t>
            </w:r>
          </w:p>
        </w:tc>
        <w:tc>
          <w:tcPr>
            <w:tcW w:w="1057" w:type="dxa"/>
            <w:tcBorders>
              <w:top w:val="nil"/>
              <w:left w:val="nil"/>
              <w:bottom w:val="single" w:sz="12" w:space="0" w:color="808080"/>
              <w:right w:val="single" w:sz="4" w:space="0" w:color="auto"/>
            </w:tcBorders>
            <w:shd w:val="clear" w:color="auto" w:fill="auto"/>
            <w:noWrap/>
            <w:vAlign w:val="bottom"/>
            <w:hideMark/>
          </w:tcPr>
          <w:p w:rsidR="00DC2C46" w:rsidRPr="00054E92" w:rsidRDefault="00DC2C46" w:rsidP="00DC2C46">
            <w:pPr>
              <w:spacing w:after="0" w:line="240" w:lineRule="auto"/>
              <w:jc w:val="right"/>
              <w:rPr>
                <w:rFonts w:eastAsia="Times New Roman" w:cstheme="minorHAnsi"/>
                <w:i/>
                <w:iCs/>
                <w:sz w:val="24"/>
                <w:szCs w:val="24"/>
              </w:rPr>
            </w:pPr>
            <w:r w:rsidRPr="00054E92">
              <w:rPr>
                <w:rFonts w:eastAsia="Times New Roman" w:cstheme="minorHAnsi"/>
                <w:i/>
                <w:iCs/>
                <w:sz w:val="24"/>
                <w:szCs w:val="24"/>
              </w:rPr>
              <w:t>2.0%</w:t>
            </w:r>
          </w:p>
        </w:tc>
        <w:tc>
          <w:tcPr>
            <w:tcW w:w="1844" w:type="dxa"/>
            <w:vMerge/>
            <w:tcBorders>
              <w:top w:val="nil"/>
              <w:left w:val="single" w:sz="4" w:space="0" w:color="auto"/>
              <w:bottom w:val="single" w:sz="12" w:space="0" w:color="808080"/>
              <w:right w:val="single" w:sz="8" w:space="0" w:color="auto"/>
            </w:tcBorders>
            <w:vAlign w:val="center"/>
            <w:hideMark/>
          </w:tcPr>
          <w:p w:rsidR="00DC2C46" w:rsidRPr="00054E92" w:rsidRDefault="00DC2C46" w:rsidP="00DC2C46">
            <w:pPr>
              <w:spacing w:after="0" w:line="240" w:lineRule="auto"/>
              <w:rPr>
                <w:rFonts w:eastAsia="Times New Roman" w:cstheme="minorHAnsi"/>
                <w:b/>
                <w:bCs/>
                <w:i/>
                <w:iCs/>
                <w:color w:val="000000"/>
                <w:sz w:val="24"/>
                <w:szCs w:val="24"/>
              </w:rPr>
            </w:pPr>
          </w:p>
        </w:tc>
      </w:tr>
      <w:tr w:rsidR="00DC2C46" w:rsidRPr="00054E92" w:rsidTr="00DB6B91">
        <w:trPr>
          <w:trHeight w:val="276"/>
        </w:trPr>
        <w:tc>
          <w:tcPr>
            <w:tcW w:w="2947" w:type="dxa"/>
            <w:tcBorders>
              <w:top w:val="nil"/>
              <w:left w:val="single" w:sz="8" w:space="0" w:color="auto"/>
              <w:bottom w:val="single" w:sz="4" w:space="0" w:color="auto"/>
              <w:right w:val="single" w:sz="8" w:space="0" w:color="auto"/>
            </w:tcBorders>
            <w:shd w:val="clear" w:color="9999FF" w:fill="C0C0C0"/>
            <w:vAlign w:val="bottom"/>
            <w:hideMark/>
          </w:tcPr>
          <w:p w:rsidR="00DC2C46" w:rsidRPr="00054E92" w:rsidRDefault="00DC2C46" w:rsidP="00DC2C46">
            <w:pPr>
              <w:spacing w:after="0" w:line="240" w:lineRule="auto"/>
              <w:rPr>
                <w:rFonts w:eastAsia="Times New Roman" w:cstheme="minorHAnsi"/>
                <w:b/>
                <w:bCs/>
                <w:color w:val="000000"/>
                <w:sz w:val="24"/>
                <w:szCs w:val="24"/>
              </w:rPr>
            </w:pPr>
            <w:r w:rsidRPr="00054E92">
              <w:rPr>
                <w:rFonts w:eastAsia="Times New Roman" w:cstheme="minorHAnsi"/>
                <w:b/>
                <w:bCs/>
                <w:color w:val="000000"/>
                <w:sz w:val="24"/>
                <w:szCs w:val="24"/>
              </w:rPr>
              <w:t>Erie County SSS</w:t>
            </w:r>
          </w:p>
        </w:tc>
        <w:tc>
          <w:tcPr>
            <w:tcW w:w="1114" w:type="dxa"/>
            <w:tcBorders>
              <w:top w:val="nil"/>
              <w:left w:val="nil"/>
              <w:bottom w:val="single" w:sz="4" w:space="0" w:color="auto"/>
              <w:right w:val="single" w:sz="4" w:space="0" w:color="auto"/>
            </w:tcBorders>
            <w:shd w:val="clear" w:color="9999FF" w:fill="C0C0C0"/>
            <w:noWrap/>
            <w:vAlign w:val="bottom"/>
            <w:hideMark/>
          </w:tcPr>
          <w:p w:rsidR="00DC2C46" w:rsidRPr="00054E92" w:rsidRDefault="00DC2C46" w:rsidP="00DC2C46">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26.0%</w:t>
            </w:r>
          </w:p>
        </w:tc>
        <w:tc>
          <w:tcPr>
            <w:tcW w:w="1134" w:type="dxa"/>
            <w:tcBorders>
              <w:top w:val="nil"/>
              <w:left w:val="nil"/>
              <w:bottom w:val="single" w:sz="4" w:space="0" w:color="auto"/>
              <w:right w:val="single" w:sz="4" w:space="0" w:color="auto"/>
            </w:tcBorders>
            <w:shd w:val="clear" w:color="9999FF" w:fill="C0C0C0"/>
            <w:noWrap/>
            <w:vAlign w:val="bottom"/>
            <w:hideMark/>
          </w:tcPr>
          <w:p w:rsidR="00DC2C46" w:rsidRPr="00054E92" w:rsidRDefault="00DC2C46" w:rsidP="00DC2C46">
            <w:pPr>
              <w:spacing w:after="0" w:line="240" w:lineRule="auto"/>
              <w:jc w:val="center"/>
              <w:rPr>
                <w:rFonts w:eastAsia="Times New Roman" w:cstheme="minorHAnsi"/>
                <w:b/>
                <w:bCs/>
                <w:i/>
                <w:iCs/>
                <w:color w:val="000000"/>
                <w:sz w:val="24"/>
                <w:szCs w:val="24"/>
              </w:rPr>
            </w:pPr>
            <w:r w:rsidRPr="00054E92">
              <w:rPr>
                <w:rFonts w:eastAsia="Times New Roman" w:cstheme="minorHAnsi"/>
                <w:b/>
                <w:bCs/>
                <w:i/>
                <w:iCs/>
                <w:color w:val="000000"/>
                <w:sz w:val="24"/>
                <w:szCs w:val="24"/>
              </w:rPr>
              <w:t>3.7%</w:t>
            </w:r>
          </w:p>
        </w:tc>
        <w:tc>
          <w:tcPr>
            <w:tcW w:w="1825" w:type="dxa"/>
            <w:vMerge w:val="restart"/>
            <w:tcBorders>
              <w:top w:val="nil"/>
              <w:left w:val="single" w:sz="4" w:space="0" w:color="auto"/>
              <w:bottom w:val="single" w:sz="4" w:space="0" w:color="auto"/>
              <w:right w:val="single" w:sz="8" w:space="0" w:color="auto"/>
            </w:tcBorders>
            <w:shd w:val="clear" w:color="9999FF" w:fill="C0C0C0"/>
            <w:noWrap/>
            <w:vAlign w:val="center"/>
            <w:hideMark/>
          </w:tcPr>
          <w:p w:rsidR="00DC2C46" w:rsidRPr="00054E92" w:rsidRDefault="00DC2C46" w:rsidP="00DC2C46">
            <w:pPr>
              <w:spacing w:after="0" w:line="240" w:lineRule="auto"/>
              <w:jc w:val="center"/>
              <w:rPr>
                <w:rFonts w:eastAsia="Times New Roman" w:cstheme="minorHAnsi"/>
                <w:b/>
                <w:bCs/>
                <w:i/>
                <w:iCs/>
                <w:color w:val="000000"/>
                <w:sz w:val="24"/>
                <w:szCs w:val="24"/>
              </w:rPr>
            </w:pPr>
            <w:r w:rsidRPr="00054E92">
              <w:rPr>
                <w:rFonts w:eastAsia="Times New Roman" w:cstheme="minorHAnsi"/>
                <w:b/>
                <w:bCs/>
                <w:i/>
                <w:iCs/>
                <w:color w:val="000000"/>
                <w:sz w:val="24"/>
                <w:szCs w:val="24"/>
              </w:rPr>
              <w:t>0.4%</w:t>
            </w:r>
          </w:p>
        </w:tc>
        <w:tc>
          <w:tcPr>
            <w:tcW w:w="1134" w:type="dxa"/>
            <w:tcBorders>
              <w:top w:val="nil"/>
              <w:left w:val="nil"/>
              <w:bottom w:val="single" w:sz="4" w:space="0" w:color="auto"/>
              <w:right w:val="single" w:sz="4" w:space="0" w:color="auto"/>
            </w:tcBorders>
            <w:shd w:val="clear" w:color="9999FF" w:fill="C0C0C0"/>
            <w:noWrap/>
            <w:vAlign w:val="bottom"/>
            <w:hideMark/>
          </w:tcPr>
          <w:p w:rsidR="00DC2C46" w:rsidRPr="00054E92" w:rsidRDefault="00DC2C46" w:rsidP="00DC2C46">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16.6%</w:t>
            </w:r>
          </w:p>
        </w:tc>
        <w:tc>
          <w:tcPr>
            <w:tcW w:w="1057" w:type="dxa"/>
            <w:tcBorders>
              <w:top w:val="nil"/>
              <w:left w:val="nil"/>
              <w:bottom w:val="single" w:sz="4" w:space="0" w:color="auto"/>
              <w:right w:val="single" w:sz="4" w:space="0" w:color="auto"/>
            </w:tcBorders>
            <w:shd w:val="clear" w:color="000000" w:fill="C0C0C0"/>
            <w:noWrap/>
            <w:vAlign w:val="bottom"/>
            <w:hideMark/>
          </w:tcPr>
          <w:p w:rsidR="00DC2C46" w:rsidRPr="00054E92" w:rsidRDefault="00DC2C46" w:rsidP="00DC2C46">
            <w:pPr>
              <w:spacing w:after="0" w:line="240" w:lineRule="auto"/>
              <w:jc w:val="right"/>
              <w:rPr>
                <w:rFonts w:eastAsia="Times New Roman" w:cstheme="minorHAnsi"/>
                <w:b/>
                <w:bCs/>
                <w:i/>
                <w:iCs/>
                <w:sz w:val="24"/>
                <w:szCs w:val="24"/>
              </w:rPr>
            </w:pPr>
            <w:r w:rsidRPr="00054E92">
              <w:rPr>
                <w:rFonts w:eastAsia="Times New Roman" w:cstheme="minorHAnsi"/>
                <w:b/>
                <w:bCs/>
                <w:i/>
                <w:iCs/>
                <w:sz w:val="24"/>
                <w:szCs w:val="24"/>
              </w:rPr>
              <w:t>8.3%</w:t>
            </w:r>
          </w:p>
        </w:tc>
        <w:tc>
          <w:tcPr>
            <w:tcW w:w="1844" w:type="dxa"/>
            <w:vMerge w:val="restart"/>
            <w:tcBorders>
              <w:top w:val="nil"/>
              <w:left w:val="single" w:sz="4" w:space="0" w:color="auto"/>
              <w:bottom w:val="single" w:sz="4" w:space="0" w:color="auto"/>
              <w:right w:val="single" w:sz="8" w:space="0" w:color="auto"/>
            </w:tcBorders>
            <w:shd w:val="clear" w:color="9999FF" w:fill="C0C0C0"/>
            <w:noWrap/>
            <w:vAlign w:val="center"/>
            <w:hideMark/>
          </w:tcPr>
          <w:p w:rsidR="00DC2C46" w:rsidRPr="00054E92" w:rsidRDefault="00DC2C46" w:rsidP="00DC2C46">
            <w:pPr>
              <w:spacing w:after="0" w:line="240" w:lineRule="auto"/>
              <w:jc w:val="center"/>
              <w:rPr>
                <w:rFonts w:eastAsia="Times New Roman" w:cstheme="minorHAnsi"/>
                <w:b/>
                <w:bCs/>
                <w:i/>
                <w:iCs/>
                <w:color w:val="000000"/>
                <w:sz w:val="24"/>
                <w:szCs w:val="24"/>
              </w:rPr>
            </w:pPr>
            <w:r w:rsidRPr="00054E92">
              <w:rPr>
                <w:rFonts w:eastAsia="Times New Roman" w:cstheme="minorHAnsi"/>
                <w:b/>
                <w:bCs/>
                <w:i/>
                <w:iCs/>
                <w:color w:val="000000"/>
                <w:sz w:val="24"/>
                <w:szCs w:val="24"/>
              </w:rPr>
              <w:t>6.3%</w:t>
            </w:r>
          </w:p>
        </w:tc>
      </w:tr>
      <w:tr w:rsidR="00DC2C46" w:rsidRPr="00054E92" w:rsidTr="00DB6B91">
        <w:trPr>
          <w:trHeight w:val="276"/>
        </w:trPr>
        <w:tc>
          <w:tcPr>
            <w:tcW w:w="2947" w:type="dxa"/>
            <w:tcBorders>
              <w:top w:val="nil"/>
              <w:left w:val="single" w:sz="8" w:space="0" w:color="auto"/>
              <w:bottom w:val="single" w:sz="4" w:space="0" w:color="auto"/>
              <w:right w:val="single" w:sz="8" w:space="0" w:color="auto"/>
            </w:tcBorders>
            <w:shd w:val="clear" w:color="9999FF" w:fill="C0C0C0"/>
            <w:vAlign w:val="bottom"/>
            <w:hideMark/>
          </w:tcPr>
          <w:p w:rsidR="00DC2C46" w:rsidRPr="00054E92" w:rsidRDefault="00DC2C46" w:rsidP="00DC2C46">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Erie County CPI</w:t>
            </w:r>
          </w:p>
        </w:tc>
        <w:tc>
          <w:tcPr>
            <w:tcW w:w="1114" w:type="dxa"/>
            <w:tcBorders>
              <w:top w:val="nil"/>
              <w:left w:val="nil"/>
              <w:bottom w:val="single" w:sz="4" w:space="0" w:color="auto"/>
              <w:right w:val="single" w:sz="4" w:space="0" w:color="auto"/>
            </w:tcBorders>
            <w:shd w:val="clear" w:color="9999FF" w:fill="C0C0C0"/>
            <w:noWrap/>
            <w:vAlign w:val="bottom"/>
            <w:hideMark/>
          </w:tcPr>
          <w:p w:rsidR="00DC2C46" w:rsidRPr="00054E92" w:rsidRDefault="00DC2C46" w:rsidP="00DC2C46">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22.9%</w:t>
            </w:r>
          </w:p>
        </w:tc>
        <w:tc>
          <w:tcPr>
            <w:tcW w:w="1134" w:type="dxa"/>
            <w:tcBorders>
              <w:top w:val="nil"/>
              <w:left w:val="nil"/>
              <w:bottom w:val="single" w:sz="4" w:space="0" w:color="auto"/>
              <w:right w:val="single" w:sz="4" w:space="0" w:color="auto"/>
            </w:tcBorders>
            <w:shd w:val="clear" w:color="9999FF" w:fill="C0C0C0"/>
            <w:noWrap/>
            <w:vAlign w:val="bottom"/>
            <w:hideMark/>
          </w:tcPr>
          <w:p w:rsidR="00DC2C46" w:rsidRPr="00054E92" w:rsidRDefault="00DC2C46" w:rsidP="00DC2C46">
            <w:pPr>
              <w:spacing w:after="0" w:line="240" w:lineRule="auto"/>
              <w:jc w:val="center"/>
              <w:rPr>
                <w:rFonts w:eastAsia="Times New Roman" w:cstheme="minorHAnsi"/>
                <w:i/>
                <w:iCs/>
                <w:color w:val="000000"/>
                <w:sz w:val="24"/>
                <w:szCs w:val="24"/>
              </w:rPr>
            </w:pPr>
            <w:r w:rsidRPr="00054E92">
              <w:rPr>
                <w:rFonts w:eastAsia="Times New Roman" w:cstheme="minorHAnsi"/>
                <w:i/>
                <w:iCs/>
                <w:color w:val="000000"/>
                <w:sz w:val="24"/>
                <w:szCs w:val="24"/>
              </w:rPr>
              <w:t>3.3%</w:t>
            </w:r>
          </w:p>
        </w:tc>
        <w:tc>
          <w:tcPr>
            <w:tcW w:w="1825" w:type="dxa"/>
            <w:vMerge/>
            <w:tcBorders>
              <w:top w:val="nil"/>
              <w:left w:val="single" w:sz="4" w:space="0" w:color="auto"/>
              <w:bottom w:val="single" w:sz="4" w:space="0" w:color="auto"/>
              <w:right w:val="single" w:sz="8" w:space="0" w:color="auto"/>
            </w:tcBorders>
            <w:vAlign w:val="center"/>
            <w:hideMark/>
          </w:tcPr>
          <w:p w:rsidR="00DC2C46" w:rsidRPr="00054E92" w:rsidRDefault="00DC2C46" w:rsidP="00DC2C46">
            <w:pPr>
              <w:spacing w:after="0" w:line="240" w:lineRule="auto"/>
              <w:rPr>
                <w:rFonts w:eastAsia="Times New Roman" w:cstheme="minorHAnsi"/>
                <w:b/>
                <w:bCs/>
                <w:i/>
                <w:iCs/>
                <w:color w:val="000000"/>
                <w:sz w:val="24"/>
                <w:szCs w:val="24"/>
              </w:rPr>
            </w:pPr>
          </w:p>
        </w:tc>
        <w:tc>
          <w:tcPr>
            <w:tcW w:w="1134" w:type="dxa"/>
            <w:tcBorders>
              <w:top w:val="nil"/>
              <w:left w:val="nil"/>
              <w:bottom w:val="single" w:sz="4" w:space="0" w:color="auto"/>
              <w:right w:val="single" w:sz="4" w:space="0" w:color="auto"/>
            </w:tcBorders>
            <w:shd w:val="clear" w:color="9999FF" w:fill="C0C0C0"/>
            <w:noWrap/>
            <w:vAlign w:val="bottom"/>
            <w:hideMark/>
          </w:tcPr>
          <w:p w:rsidR="00DC2C46" w:rsidRPr="00054E92" w:rsidRDefault="00DC2C46" w:rsidP="00DC2C46">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4.0%</w:t>
            </w:r>
          </w:p>
        </w:tc>
        <w:tc>
          <w:tcPr>
            <w:tcW w:w="1057" w:type="dxa"/>
            <w:tcBorders>
              <w:top w:val="nil"/>
              <w:left w:val="nil"/>
              <w:bottom w:val="single" w:sz="4" w:space="0" w:color="auto"/>
              <w:right w:val="single" w:sz="4" w:space="0" w:color="auto"/>
            </w:tcBorders>
            <w:shd w:val="clear" w:color="000000" w:fill="C0C0C0"/>
            <w:noWrap/>
            <w:vAlign w:val="bottom"/>
            <w:hideMark/>
          </w:tcPr>
          <w:p w:rsidR="00DC2C46" w:rsidRPr="00054E92" w:rsidRDefault="00DC2C46" w:rsidP="00DC2C46">
            <w:pPr>
              <w:spacing w:after="0" w:line="240" w:lineRule="auto"/>
              <w:jc w:val="right"/>
              <w:rPr>
                <w:rFonts w:eastAsia="Times New Roman" w:cstheme="minorHAnsi"/>
                <w:i/>
                <w:iCs/>
                <w:sz w:val="24"/>
                <w:szCs w:val="24"/>
              </w:rPr>
            </w:pPr>
            <w:r w:rsidRPr="00054E92">
              <w:rPr>
                <w:rFonts w:eastAsia="Times New Roman" w:cstheme="minorHAnsi"/>
                <w:i/>
                <w:iCs/>
                <w:sz w:val="24"/>
                <w:szCs w:val="24"/>
              </w:rPr>
              <w:t>2.0%</w:t>
            </w:r>
          </w:p>
        </w:tc>
        <w:tc>
          <w:tcPr>
            <w:tcW w:w="1844" w:type="dxa"/>
            <w:vMerge/>
            <w:tcBorders>
              <w:top w:val="nil"/>
              <w:left w:val="single" w:sz="4" w:space="0" w:color="auto"/>
              <w:bottom w:val="single" w:sz="4" w:space="0" w:color="auto"/>
              <w:right w:val="single" w:sz="8" w:space="0" w:color="auto"/>
            </w:tcBorders>
            <w:vAlign w:val="center"/>
            <w:hideMark/>
          </w:tcPr>
          <w:p w:rsidR="00DC2C46" w:rsidRPr="00054E92" w:rsidRDefault="00DC2C46" w:rsidP="00DC2C46">
            <w:pPr>
              <w:spacing w:after="0" w:line="240" w:lineRule="auto"/>
              <w:rPr>
                <w:rFonts w:eastAsia="Times New Roman" w:cstheme="minorHAnsi"/>
                <w:b/>
                <w:bCs/>
                <w:i/>
                <w:iCs/>
                <w:color w:val="000000"/>
                <w:sz w:val="24"/>
                <w:szCs w:val="24"/>
              </w:rPr>
            </w:pPr>
          </w:p>
        </w:tc>
      </w:tr>
      <w:tr w:rsidR="00DC2C46" w:rsidRPr="00054E92" w:rsidTr="00DB6B91">
        <w:trPr>
          <w:trHeight w:val="276"/>
        </w:trPr>
        <w:tc>
          <w:tcPr>
            <w:tcW w:w="2947" w:type="dxa"/>
            <w:tcBorders>
              <w:top w:val="nil"/>
              <w:left w:val="single" w:sz="8" w:space="0" w:color="auto"/>
              <w:bottom w:val="single" w:sz="4" w:space="0" w:color="auto"/>
              <w:right w:val="single" w:sz="8" w:space="0" w:color="auto"/>
            </w:tcBorders>
            <w:shd w:val="clear" w:color="000000" w:fill="333333"/>
            <w:vAlign w:val="bottom"/>
            <w:hideMark/>
          </w:tcPr>
          <w:p w:rsidR="00DC2C46" w:rsidRPr="00054E92" w:rsidRDefault="00DC2C46" w:rsidP="00DC2C46">
            <w:pPr>
              <w:spacing w:after="0" w:line="240" w:lineRule="auto"/>
              <w:rPr>
                <w:rFonts w:eastAsia="Times New Roman" w:cstheme="minorHAnsi"/>
                <w:b/>
                <w:bCs/>
                <w:color w:val="FFFFFF"/>
                <w:sz w:val="24"/>
                <w:szCs w:val="24"/>
              </w:rPr>
            </w:pPr>
            <w:r w:rsidRPr="00054E92">
              <w:rPr>
                <w:rFonts w:eastAsia="Times New Roman" w:cstheme="minorHAnsi"/>
                <w:b/>
                <w:bCs/>
                <w:color w:val="FFFFFF"/>
                <w:sz w:val="24"/>
                <w:szCs w:val="24"/>
              </w:rPr>
              <w:t xml:space="preserve">WASHINGTON </w:t>
            </w:r>
          </w:p>
        </w:tc>
        <w:tc>
          <w:tcPr>
            <w:tcW w:w="4073" w:type="dxa"/>
            <w:gridSpan w:val="3"/>
            <w:tcBorders>
              <w:top w:val="single" w:sz="4" w:space="0" w:color="auto"/>
              <w:left w:val="nil"/>
              <w:bottom w:val="single" w:sz="4" w:space="0" w:color="auto"/>
              <w:right w:val="single" w:sz="8" w:space="0" w:color="000000"/>
            </w:tcBorders>
            <w:shd w:val="clear" w:color="000000" w:fill="333333"/>
            <w:vAlign w:val="center"/>
            <w:hideMark/>
          </w:tcPr>
          <w:p w:rsidR="00DC2C46" w:rsidRPr="00054E92" w:rsidRDefault="00DC2C46" w:rsidP="00DC2C46">
            <w:pPr>
              <w:spacing w:after="0" w:line="240" w:lineRule="auto"/>
              <w:jc w:val="center"/>
              <w:rPr>
                <w:rFonts w:eastAsia="Times New Roman" w:cstheme="minorHAnsi"/>
                <w:b/>
                <w:bCs/>
                <w:color w:val="FFFFFF"/>
                <w:sz w:val="24"/>
                <w:szCs w:val="24"/>
              </w:rPr>
            </w:pPr>
            <w:r w:rsidRPr="00054E92">
              <w:rPr>
                <w:rFonts w:eastAsia="Times New Roman" w:cstheme="minorHAnsi"/>
                <w:b/>
                <w:bCs/>
                <w:color w:val="FFFFFF"/>
                <w:sz w:val="24"/>
                <w:szCs w:val="24"/>
              </w:rPr>
              <w:t>2001-2006</w:t>
            </w:r>
          </w:p>
        </w:tc>
        <w:tc>
          <w:tcPr>
            <w:tcW w:w="4035" w:type="dxa"/>
            <w:gridSpan w:val="3"/>
            <w:tcBorders>
              <w:top w:val="single" w:sz="4" w:space="0" w:color="auto"/>
              <w:left w:val="nil"/>
              <w:bottom w:val="single" w:sz="4" w:space="0" w:color="auto"/>
              <w:right w:val="single" w:sz="8" w:space="0" w:color="000000"/>
            </w:tcBorders>
            <w:shd w:val="clear" w:color="000000" w:fill="333333"/>
            <w:vAlign w:val="center"/>
            <w:hideMark/>
          </w:tcPr>
          <w:p w:rsidR="00DC2C46" w:rsidRPr="00054E92" w:rsidRDefault="00DC2C46" w:rsidP="00DC2C46">
            <w:pPr>
              <w:spacing w:after="0" w:line="240" w:lineRule="auto"/>
              <w:jc w:val="center"/>
              <w:rPr>
                <w:rFonts w:eastAsia="Times New Roman" w:cstheme="minorHAnsi"/>
                <w:b/>
                <w:bCs/>
                <w:color w:val="FFFFFF"/>
                <w:sz w:val="24"/>
                <w:szCs w:val="24"/>
              </w:rPr>
            </w:pPr>
            <w:r w:rsidRPr="00054E92">
              <w:rPr>
                <w:rFonts w:eastAsia="Times New Roman" w:cstheme="minorHAnsi"/>
                <w:b/>
                <w:bCs/>
                <w:color w:val="FFFFFF"/>
                <w:sz w:val="24"/>
                <w:szCs w:val="24"/>
              </w:rPr>
              <w:t xml:space="preserve">2009-2011 </w:t>
            </w:r>
          </w:p>
        </w:tc>
      </w:tr>
      <w:tr w:rsidR="00DC2C46" w:rsidRPr="00054E92" w:rsidTr="00DB6B91">
        <w:trPr>
          <w:trHeight w:val="276"/>
        </w:trPr>
        <w:tc>
          <w:tcPr>
            <w:tcW w:w="2947" w:type="dxa"/>
            <w:tcBorders>
              <w:top w:val="nil"/>
              <w:left w:val="single" w:sz="8" w:space="0" w:color="auto"/>
              <w:bottom w:val="single" w:sz="4" w:space="0" w:color="auto"/>
              <w:right w:val="single" w:sz="8" w:space="0" w:color="auto"/>
            </w:tcBorders>
            <w:shd w:val="clear" w:color="auto" w:fill="auto"/>
            <w:vAlign w:val="bottom"/>
            <w:hideMark/>
          </w:tcPr>
          <w:p w:rsidR="00DC2C46" w:rsidRPr="00054E92" w:rsidRDefault="00DC2C46" w:rsidP="00DC2C46">
            <w:pPr>
              <w:spacing w:after="0" w:line="240" w:lineRule="auto"/>
              <w:rPr>
                <w:rFonts w:eastAsia="Times New Roman" w:cstheme="minorHAnsi"/>
                <w:b/>
                <w:bCs/>
                <w:color w:val="000000"/>
                <w:sz w:val="24"/>
                <w:szCs w:val="24"/>
              </w:rPr>
            </w:pPr>
            <w:r w:rsidRPr="00054E92">
              <w:rPr>
                <w:rFonts w:eastAsia="Times New Roman" w:cstheme="minorHAnsi"/>
                <w:b/>
                <w:bCs/>
                <w:color w:val="000000"/>
                <w:sz w:val="24"/>
                <w:szCs w:val="24"/>
              </w:rPr>
              <w:t>King County (Seattle) SSS</w:t>
            </w:r>
          </w:p>
        </w:tc>
        <w:tc>
          <w:tcPr>
            <w:tcW w:w="1114" w:type="dxa"/>
            <w:tcBorders>
              <w:top w:val="nil"/>
              <w:left w:val="nil"/>
              <w:bottom w:val="single" w:sz="4" w:space="0" w:color="auto"/>
              <w:right w:val="single" w:sz="4" w:space="0" w:color="auto"/>
            </w:tcBorders>
            <w:shd w:val="clear" w:color="auto" w:fill="auto"/>
            <w:noWrap/>
            <w:vAlign w:val="bottom"/>
            <w:hideMark/>
          </w:tcPr>
          <w:p w:rsidR="00DC2C46" w:rsidRPr="00054E92" w:rsidRDefault="00DC2C46" w:rsidP="00DC2C46">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17.0%</w:t>
            </w:r>
          </w:p>
        </w:tc>
        <w:tc>
          <w:tcPr>
            <w:tcW w:w="1134" w:type="dxa"/>
            <w:tcBorders>
              <w:top w:val="nil"/>
              <w:left w:val="nil"/>
              <w:bottom w:val="single" w:sz="4" w:space="0" w:color="auto"/>
              <w:right w:val="single" w:sz="4" w:space="0" w:color="auto"/>
            </w:tcBorders>
            <w:shd w:val="clear" w:color="auto" w:fill="auto"/>
            <w:noWrap/>
            <w:vAlign w:val="bottom"/>
            <w:hideMark/>
          </w:tcPr>
          <w:p w:rsidR="00DC2C46" w:rsidRPr="00054E92" w:rsidRDefault="00DC2C46" w:rsidP="00DC2C46">
            <w:pPr>
              <w:spacing w:after="0" w:line="240" w:lineRule="auto"/>
              <w:jc w:val="center"/>
              <w:rPr>
                <w:rFonts w:eastAsia="Times New Roman" w:cstheme="minorHAnsi"/>
                <w:b/>
                <w:bCs/>
                <w:i/>
                <w:iCs/>
                <w:color w:val="000000"/>
                <w:sz w:val="24"/>
                <w:szCs w:val="24"/>
              </w:rPr>
            </w:pPr>
            <w:r w:rsidRPr="00054E92">
              <w:rPr>
                <w:rFonts w:eastAsia="Times New Roman" w:cstheme="minorHAnsi"/>
                <w:b/>
                <w:bCs/>
                <w:i/>
                <w:iCs/>
                <w:color w:val="000000"/>
                <w:sz w:val="24"/>
                <w:szCs w:val="24"/>
              </w:rPr>
              <w:t>5.7%</w:t>
            </w:r>
          </w:p>
        </w:tc>
        <w:tc>
          <w:tcPr>
            <w:tcW w:w="1825" w:type="dxa"/>
            <w:vMerge w:val="restart"/>
            <w:tcBorders>
              <w:top w:val="nil"/>
              <w:left w:val="single" w:sz="4" w:space="0" w:color="auto"/>
              <w:bottom w:val="single" w:sz="12" w:space="0" w:color="808080"/>
              <w:right w:val="single" w:sz="8" w:space="0" w:color="auto"/>
            </w:tcBorders>
            <w:shd w:val="clear" w:color="auto" w:fill="auto"/>
            <w:noWrap/>
            <w:vAlign w:val="center"/>
            <w:hideMark/>
          </w:tcPr>
          <w:p w:rsidR="00DC2C46" w:rsidRPr="00054E92" w:rsidRDefault="00DC2C46" w:rsidP="00DC2C46">
            <w:pPr>
              <w:spacing w:after="0" w:line="240" w:lineRule="auto"/>
              <w:jc w:val="center"/>
              <w:rPr>
                <w:rFonts w:eastAsia="Times New Roman" w:cstheme="minorHAnsi"/>
                <w:b/>
                <w:bCs/>
                <w:i/>
                <w:iCs/>
                <w:color w:val="000000"/>
                <w:sz w:val="24"/>
                <w:szCs w:val="24"/>
              </w:rPr>
            </w:pPr>
            <w:r w:rsidRPr="00054E92">
              <w:rPr>
                <w:rFonts w:eastAsia="Times New Roman" w:cstheme="minorHAnsi"/>
                <w:b/>
                <w:bCs/>
                <w:i/>
                <w:iCs/>
                <w:color w:val="000000"/>
                <w:sz w:val="24"/>
                <w:szCs w:val="24"/>
              </w:rPr>
              <w:t>1.7%</w:t>
            </w:r>
          </w:p>
        </w:tc>
        <w:tc>
          <w:tcPr>
            <w:tcW w:w="1134" w:type="dxa"/>
            <w:tcBorders>
              <w:top w:val="nil"/>
              <w:left w:val="nil"/>
              <w:bottom w:val="single" w:sz="4" w:space="0" w:color="auto"/>
              <w:right w:val="single" w:sz="4" w:space="0" w:color="auto"/>
            </w:tcBorders>
            <w:shd w:val="clear" w:color="auto" w:fill="auto"/>
            <w:noWrap/>
            <w:vAlign w:val="bottom"/>
            <w:hideMark/>
          </w:tcPr>
          <w:p w:rsidR="00DC2C46" w:rsidRPr="00054E92" w:rsidRDefault="00DC2C46" w:rsidP="00DC2C46">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10.4%</w:t>
            </w:r>
          </w:p>
        </w:tc>
        <w:tc>
          <w:tcPr>
            <w:tcW w:w="1057" w:type="dxa"/>
            <w:tcBorders>
              <w:top w:val="nil"/>
              <w:left w:val="nil"/>
              <w:bottom w:val="single" w:sz="4" w:space="0" w:color="auto"/>
              <w:right w:val="single" w:sz="4" w:space="0" w:color="auto"/>
            </w:tcBorders>
            <w:shd w:val="clear" w:color="auto" w:fill="auto"/>
            <w:noWrap/>
            <w:vAlign w:val="bottom"/>
            <w:hideMark/>
          </w:tcPr>
          <w:p w:rsidR="00DC2C46" w:rsidRPr="00054E92" w:rsidRDefault="00DC2C46" w:rsidP="00DC2C46">
            <w:pPr>
              <w:spacing w:after="0" w:line="240" w:lineRule="auto"/>
              <w:jc w:val="right"/>
              <w:rPr>
                <w:rFonts w:eastAsia="Times New Roman" w:cstheme="minorHAnsi"/>
                <w:b/>
                <w:bCs/>
                <w:i/>
                <w:iCs/>
                <w:sz w:val="24"/>
                <w:szCs w:val="24"/>
              </w:rPr>
            </w:pPr>
            <w:r w:rsidRPr="00054E92">
              <w:rPr>
                <w:rFonts w:eastAsia="Times New Roman" w:cstheme="minorHAnsi"/>
                <w:b/>
                <w:bCs/>
                <w:i/>
                <w:iCs/>
                <w:sz w:val="24"/>
                <w:szCs w:val="24"/>
              </w:rPr>
              <w:t>5.2%</w:t>
            </w:r>
          </w:p>
        </w:tc>
        <w:tc>
          <w:tcPr>
            <w:tcW w:w="1844" w:type="dxa"/>
            <w:vMerge w:val="restart"/>
            <w:tcBorders>
              <w:top w:val="nil"/>
              <w:left w:val="single" w:sz="4" w:space="0" w:color="auto"/>
              <w:bottom w:val="single" w:sz="12" w:space="0" w:color="808080"/>
              <w:right w:val="single" w:sz="8" w:space="0" w:color="auto"/>
            </w:tcBorders>
            <w:shd w:val="clear" w:color="auto" w:fill="auto"/>
            <w:noWrap/>
            <w:vAlign w:val="center"/>
            <w:hideMark/>
          </w:tcPr>
          <w:p w:rsidR="00DC2C46" w:rsidRPr="00054E92" w:rsidRDefault="00DC2C46" w:rsidP="00DC2C46">
            <w:pPr>
              <w:spacing w:after="0" w:line="240" w:lineRule="auto"/>
              <w:jc w:val="center"/>
              <w:rPr>
                <w:rFonts w:eastAsia="Times New Roman" w:cstheme="minorHAnsi"/>
                <w:b/>
                <w:bCs/>
                <w:i/>
                <w:iCs/>
                <w:color w:val="000000"/>
                <w:sz w:val="24"/>
                <w:szCs w:val="24"/>
              </w:rPr>
            </w:pPr>
            <w:r w:rsidRPr="00054E92">
              <w:rPr>
                <w:rFonts w:eastAsia="Times New Roman" w:cstheme="minorHAnsi"/>
                <w:b/>
                <w:bCs/>
                <w:i/>
                <w:iCs/>
                <w:color w:val="000000"/>
                <w:sz w:val="24"/>
                <w:szCs w:val="24"/>
              </w:rPr>
              <w:t>2.4%</w:t>
            </w:r>
          </w:p>
        </w:tc>
      </w:tr>
      <w:tr w:rsidR="00DC2C46" w:rsidRPr="00054E92" w:rsidTr="00DB6B91">
        <w:trPr>
          <w:trHeight w:val="276"/>
        </w:trPr>
        <w:tc>
          <w:tcPr>
            <w:tcW w:w="2947" w:type="dxa"/>
            <w:tcBorders>
              <w:top w:val="nil"/>
              <w:left w:val="single" w:sz="8" w:space="0" w:color="auto"/>
              <w:bottom w:val="single" w:sz="12" w:space="0" w:color="808080"/>
              <w:right w:val="single" w:sz="8" w:space="0" w:color="auto"/>
            </w:tcBorders>
            <w:shd w:val="clear" w:color="auto" w:fill="auto"/>
            <w:vAlign w:val="bottom"/>
            <w:hideMark/>
          </w:tcPr>
          <w:p w:rsidR="00DC2C46" w:rsidRPr="00054E92" w:rsidRDefault="00DC2C46" w:rsidP="00DC2C46">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King County (Seattle)  CPI</w:t>
            </w:r>
          </w:p>
        </w:tc>
        <w:tc>
          <w:tcPr>
            <w:tcW w:w="1114" w:type="dxa"/>
            <w:tcBorders>
              <w:top w:val="nil"/>
              <w:left w:val="nil"/>
              <w:bottom w:val="single" w:sz="12" w:space="0" w:color="808080"/>
              <w:right w:val="single" w:sz="4" w:space="0" w:color="auto"/>
            </w:tcBorders>
            <w:shd w:val="clear" w:color="auto" w:fill="auto"/>
            <w:noWrap/>
            <w:vAlign w:val="bottom"/>
            <w:hideMark/>
          </w:tcPr>
          <w:p w:rsidR="00DC2C46" w:rsidRPr="00054E92" w:rsidRDefault="00DC2C46" w:rsidP="00DC2C46">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11.9%</w:t>
            </w:r>
          </w:p>
        </w:tc>
        <w:tc>
          <w:tcPr>
            <w:tcW w:w="1134" w:type="dxa"/>
            <w:tcBorders>
              <w:top w:val="nil"/>
              <w:left w:val="nil"/>
              <w:bottom w:val="single" w:sz="12" w:space="0" w:color="808080"/>
              <w:right w:val="single" w:sz="4" w:space="0" w:color="auto"/>
            </w:tcBorders>
            <w:shd w:val="clear" w:color="auto" w:fill="auto"/>
            <w:noWrap/>
            <w:vAlign w:val="bottom"/>
            <w:hideMark/>
          </w:tcPr>
          <w:p w:rsidR="00DC2C46" w:rsidRPr="00054E92" w:rsidRDefault="00DC2C46" w:rsidP="00DC2C46">
            <w:pPr>
              <w:spacing w:after="0" w:line="240" w:lineRule="auto"/>
              <w:jc w:val="center"/>
              <w:rPr>
                <w:rFonts w:eastAsia="Times New Roman" w:cstheme="minorHAnsi"/>
                <w:i/>
                <w:iCs/>
                <w:color w:val="000000"/>
                <w:sz w:val="24"/>
                <w:szCs w:val="24"/>
              </w:rPr>
            </w:pPr>
            <w:r w:rsidRPr="00054E92">
              <w:rPr>
                <w:rFonts w:eastAsia="Times New Roman" w:cstheme="minorHAnsi"/>
                <w:i/>
                <w:iCs/>
                <w:color w:val="000000"/>
                <w:sz w:val="24"/>
                <w:szCs w:val="24"/>
              </w:rPr>
              <w:t>4.0%</w:t>
            </w:r>
          </w:p>
        </w:tc>
        <w:tc>
          <w:tcPr>
            <w:tcW w:w="1825" w:type="dxa"/>
            <w:vMerge/>
            <w:tcBorders>
              <w:top w:val="nil"/>
              <w:left w:val="single" w:sz="4" w:space="0" w:color="auto"/>
              <w:bottom w:val="single" w:sz="12" w:space="0" w:color="808080"/>
              <w:right w:val="single" w:sz="8" w:space="0" w:color="auto"/>
            </w:tcBorders>
            <w:vAlign w:val="center"/>
            <w:hideMark/>
          </w:tcPr>
          <w:p w:rsidR="00DC2C46" w:rsidRPr="00054E92" w:rsidRDefault="00DC2C46" w:rsidP="00DC2C46">
            <w:pPr>
              <w:spacing w:after="0" w:line="240" w:lineRule="auto"/>
              <w:rPr>
                <w:rFonts w:eastAsia="Times New Roman" w:cstheme="minorHAnsi"/>
                <w:b/>
                <w:bCs/>
                <w:i/>
                <w:iCs/>
                <w:color w:val="000000"/>
                <w:sz w:val="24"/>
                <w:szCs w:val="24"/>
              </w:rPr>
            </w:pPr>
          </w:p>
        </w:tc>
        <w:tc>
          <w:tcPr>
            <w:tcW w:w="1134" w:type="dxa"/>
            <w:tcBorders>
              <w:top w:val="nil"/>
              <w:left w:val="nil"/>
              <w:bottom w:val="single" w:sz="12" w:space="0" w:color="808080"/>
              <w:right w:val="single" w:sz="4" w:space="0" w:color="auto"/>
            </w:tcBorders>
            <w:shd w:val="clear" w:color="auto" w:fill="auto"/>
            <w:noWrap/>
            <w:vAlign w:val="bottom"/>
            <w:hideMark/>
          </w:tcPr>
          <w:p w:rsidR="00DC2C46" w:rsidRPr="00054E92" w:rsidRDefault="00DC2C46" w:rsidP="00DC2C46">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5.5%</w:t>
            </w:r>
          </w:p>
        </w:tc>
        <w:tc>
          <w:tcPr>
            <w:tcW w:w="1057" w:type="dxa"/>
            <w:tcBorders>
              <w:top w:val="nil"/>
              <w:left w:val="nil"/>
              <w:bottom w:val="single" w:sz="12" w:space="0" w:color="808080"/>
              <w:right w:val="single" w:sz="4" w:space="0" w:color="auto"/>
            </w:tcBorders>
            <w:shd w:val="clear" w:color="auto" w:fill="auto"/>
            <w:noWrap/>
            <w:vAlign w:val="bottom"/>
            <w:hideMark/>
          </w:tcPr>
          <w:p w:rsidR="00DC2C46" w:rsidRPr="00054E92" w:rsidRDefault="00DC2C46" w:rsidP="00DC2C46">
            <w:pPr>
              <w:spacing w:after="0" w:line="240" w:lineRule="auto"/>
              <w:jc w:val="right"/>
              <w:rPr>
                <w:rFonts w:eastAsia="Times New Roman" w:cstheme="minorHAnsi"/>
                <w:i/>
                <w:iCs/>
                <w:sz w:val="24"/>
                <w:szCs w:val="24"/>
              </w:rPr>
            </w:pPr>
            <w:r w:rsidRPr="00054E92">
              <w:rPr>
                <w:rFonts w:eastAsia="Times New Roman" w:cstheme="minorHAnsi"/>
                <w:i/>
                <w:iCs/>
                <w:sz w:val="24"/>
                <w:szCs w:val="24"/>
              </w:rPr>
              <w:t>2.8%</w:t>
            </w:r>
          </w:p>
        </w:tc>
        <w:tc>
          <w:tcPr>
            <w:tcW w:w="1844" w:type="dxa"/>
            <w:vMerge/>
            <w:tcBorders>
              <w:top w:val="nil"/>
              <w:left w:val="single" w:sz="4" w:space="0" w:color="auto"/>
              <w:bottom w:val="single" w:sz="12" w:space="0" w:color="808080"/>
              <w:right w:val="single" w:sz="8" w:space="0" w:color="auto"/>
            </w:tcBorders>
            <w:vAlign w:val="center"/>
            <w:hideMark/>
          </w:tcPr>
          <w:p w:rsidR="00DC2C46" w:rsidRPr="00054E92" w:rsidRDefault="00DC2C46" w:rsidP="00DC2C46">
            <w:pPr>
              <w:spacing w:after="0" w:line="240" w:lineRule="auto"/>
              <w:rPr>
                <w:rFonts w:eastAsia="Times New Roman" w:cstheme="minorHAnsi"/>
                <w:b/>
                <w:bCs/>
                <w:i/>
                <w:iCs/>
                <w:color w:val="000000"/>
                <w:sz w:val="24"/>
                <w:szCs w:val="24"/>
              </w:rPr>
            </w:pPr>
          </w:p>
        </w:tc>
      </w:tr>
      <w:tr w:rsidR="00DC2C46" w:rsidRPr="00054E92" w:rsidTr="00DB6B91">
        <w:trPr>
          <w:trHeight w:val="276"/>
        </w:trPr>
        <w:tc>
          <w:tcPr>
            <w:tcW w:w="2947" w:type="dxa"/>
            <w:tcBorders>
              <w:top w:val="nil"/>
              <w:left w:val="single" w:sz="8" w:space="0" w:color="auto"/>
              <w:bottom w:val="single" w:sz="4" w:space="0" w:color="auto"/>
              <w:right w:val="single" w:sz="8" w:space="0" w:color="auto"/>
            </w:tcBorders>
            <w:shd w:val="clear" w:color="9999FF" w:fill="C0C0C0"/>
            <w:vAlign w:val="bottom"/>
            <w:hideMark/>
          </w:tcPr>
          <w:p w:rsidR="00DC2C46" w:rsidRPr="00054E92" w:rsidRDefault="00DC2C46" w:rsidP="00DC2C46">
            <w:pPr>
              <w:spacing w:after="0" w:line="240" w:lineRule="auto"/>
              <w:rPr>
                <w:rFonts w:eastAsia="Times New Roman" w:cstheme="minorHAnsi"/>
                <w:b/>
                <w:bCs/>
                <w:color w:val="000000"/>
                <w:sz w:val="24"/>
                <w:szCs w:val="24"/>
              </w:rPr>
            </w:pPr>
            <w:r w:rsidRPr="00054E92">
              <w:rPr>
                <w:rFonts w:eastAsia="Times New Roman" w:cstheme="minorHAnsi"/>
                <w:b/>
                <w:bCs/>
                <w:color w:val="000000"/>
                <w:sz w:val="24"/>
                <w:szCs w:val="24"/>
              </w:rPr>
              <w:t>Grays Harbor County SSS</w:t>
            </w:r>
          </w:p>
        </w:tc>
        <w:tc>
          <w:tcPr>
            <w:tcW w:w="1114" w:type="dxa"/>
            <w:tcBorders>
              <w:top w:val="nil"/>
              <w:left w:val="nil"/>
              <w:bottom w:val="single" w:sz="4" w:space="0" w:color="auto"/>
              <w:right w:val="single" w:sz="4" w:space="0" w:color="auto"/>
            </w:tcBorders>
            <w:shd w:val="clear" w:color="9999FF" w:fill="C0C0C0"/>
            <w:noWrap/>
            <w:vAlign w:val="bottom"/>
            <w:hideMark/>
          </w:tcPr>
          <w:p w:rsidR="00DC2C46" w:rsidRPr="00054E92" w:rsidRDefault="00DC2C46" w:rsidP="00DC2C46">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12.5%</w:t>
            </w:r>
          </w:p>
        </w:tc>
        <w:tc>
          <w:tcPr>
            <w:tcW w:w="1134" w:type="dxa"/>
            <w:tcBorders>
              <w:top w:val="nil"/>
              <w:left w:val="nil"/>
              <w:bottom w:val="single" w:sz="4" w:space="0" w:color="auto"/>
              <w:right w:val="single" w:sz="4" w:space="0" w:color="auto"/>
            </w:tcBorders>
            <w:shd w:val="clear" w:color="9999FF" w:fill="C0C0C0"/>
            <w:noWrap/>
            <w:vAlign w:val="bottom"/>
            <w:hideMark/>
          </w:tcPr>
          <w:p w:rsidR="00DC2C46" w:rsidRPr="00054E92" w:rsidRDefault="00DC2C46" w:rsidP="00DC2C46">
            <w:pPr>
              <w:spacing w:after="0" w:line="240" w:lineRule="auto"/>
              <w:jc w:val="center"/>
              <w:rPr>
                <w:rFonts w:eastAsia="Times New Roman" w:cstheme="minorHAnsi"/>
                <w:b/>
                <w:bCs/>
                <w:i/>
                <w:iCs/>
                <w:color w:val="000000"/>
                <w:sz w:val="24"/>
                <w:szCs w:val="24"/>
              </w:rPr>
            </w:pPr>
            <w:r w:rsidRPr="00054E92">
              <w:rPr>
                <w:rFonts w:eastAsia="Times New Roman" w:cstheme="minorHAnsi"/>
                <w:b/>
                <w:bCs/>
                <w:i/>
                <w:iCs/>
                <w:color w:val="000000"/>
                <w:sz w:val="24"/>
                <w:szCs w:val="24"/>
              </w:rPr>
              <w:t>2.5%</w:t>
            </w:r>
          </w:p>
        </w:tc>
        <w:tc>
          <w:tcPr>
            <w:tcW w:w="1825" w:type="dxa"/>
            <w:vMerge w:val="restart"/>
            <w:tcBorders>
              <w:top w:val="nil"/>
              <w:left w:val="single" w:sz="4" w:space="0" w:color="auto"/>
              <w:bottom w:val="single" w:sz="4" w:space="0" w:color="auto"/>
              <w:right w:val="single" w:sz="8" w:space="0" w:color="auto"/>
            </w:tcBorders>
            <w:shd w:val="clear" w:color="9999FF" w:fill="C0C0C0"/>
            <w:noWrap/>
            <w:vAlign w:val="center"/>
            <w:hideMark/>
          </w:tcPr>
          <w:p w:rsidR="00DC2C46" w:rsidRPr="00054E92" w:rsidRDefault="00DC2C46" w:rsidP="00DC2C46">
            <w:pPr>
              <w:spacing w:after="0" w:line="240" w:lineRule="auto"/>
              <w:jc w:val="center"/>
              <w:rPr>
                <w:rFonts w:eastAsia="Times New Roman" w:cstheme="minorHAnsi"/>
                <w:b/>
                <w:bCs/>
                <w:i/>
                <w:iCs/>
                <w:color w:val="000000"/>
                <w:sz w:val="24"/>
                <w:szCs w:val="24"/>
              </w:rPr>
            </w:pPr>
            <w:r w:rsidRPr="00054E92">
              <w:rPr>
                <w:rFonts w:eastAsia="Times New Roman" w:cstheme="minorHAnsi"/>
                <w:b/>
                <w:bCs/>
                <w:i/>
                <w:iCs/>
                <w:color w:val="000000"/>
                <w:sz w:val="24"/>
                <w:szCs w:val="24"/>
              </w:rPr>
              <w:t>-0.2%</w:t>
            </w:r>
          </w:p>
        </w:tc>
        <w:tc>
          <w:tcPr>
            <w:tcW w:w="1134" w:type="dxa"/>
            <w:tcBorders>
              <w:top w:val="nil"/>
              <w:left w:val="nil"/>
              <w:bottom w:val="single" w:sz="4" w:space="0" w:color="auto"/>
              <w:right w:val="single" w:sz="4" w:space="0" w:color="auto"/>
            </w:tcBorders>
            <w:shd w:val="clear" w:color="9999FF" w:fill="C0C0C0"/>
            <w:noWrap/>
            <w:vAlign w:val="bottom"/>
            <w:hideMark/>
          </w:tcPr>
          <w:p w:rsidR="00DC2C46" w:rsidRPr="00054E92" w:rsidRDefault="00DC2C46" w:rsidP="00DC2C46">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5.8%</w:t>
            </w:r>
          </w:p>
        </w:tc>
        <w:tc>
          <w:tcPr>
            <w:tcW w:w="1057" w:type="dxa"/>
            <w:tcBorders>
              <w:top w:val="nil"/>
              <w:left w:val="nil"/>
              <w:bottom w:val="single" w:sz="4" w:space="0" w:color="auto"/>
              <w:right w:val="single" w:sz="4" w:space="0" w:color="auto"/>
            </w:tcBorders>
            <w:shd w:val="clear" w:color="000000" w:fill="C0C0C0"/>
            <w:noWrap/>
            <w:vAlign w:val="bottom"/>
            <w:hideMark/>
          </w:tcPr>
          <w:p w:rsidR="00DC2C46" w:rsidRPr="00054E92" w:rsidRDefault="00DC2C46" w:rsidP="00DC2C46">
            <w:pPr>
              <w:spacing w:after="0" w:line="240" w:lineRule="auto"/>
              <w:jc w:val="right"/>
              <w:rPr>
                <w:rFonts w:eastAsia="Times New Roman" w:cstheme="minorHAnsi"/>
                <w:b/>
                <w:bCs/>
                <w:i/>
                <w:iCs/>
                <w:sz w:val="24"/>
                <w:szCs w:val="24"/>
              </w:rPr>
            </w:pPr>
            <w:r w:rsidRPr="00054E92">
              <w:rPr>
                <w:rFonts w:eastAsia="Times New Roman" w:cstheme="minorHAnsi"/>
                <w:b/>
                <w:bCs/>
                <w:i/>
                <w:iCs/>
                <w:sz w:val="24"/>
                <w:szCs w:val="24"/>
              </w:rPr>
              <w:t>2.9%</w:t>
            </w:r>
          </w:p>
        </w:tc>
        <w:tc>
          <w:tcPr>
            <w:tcW w:w="1844" w:type="dxa"/>
            <w:vMerge w:val="restart"/>
            <w:tcBorders>
              <w:top w:val="nil"/>
              <w:left w:val="single" w:sz="4" w:space="0" w:color="auto"/>
              <w:bottom w:val="single" w:sz="4" w:space="0" w:color="auto"/>
              <w:right w:val="single" w:sz="8" w:space="0" w:color="auto"/>
            </w:tcBorders>
            <w:shd w:val="clear" w:color="9999FF" w:fill="C0C0C0"/>
            <w:noWrap/>
            <w:vAlign w:val="center"/>
            <w:hideMark/>
          </w:tcPr>
          <w:p w:rsidR="00DC2C46" w:rsidRPr="00054E92" w:rsidRDefault="00DC2C46" w:rsidP="00DC2C46">
            <w:pPr>
              <w:spacing w:after="0" w:line="240" w:lineRule="auto"/>
              <w:jc w:val="center"/>
              <w:rPr>
                <w:rFonts w:eastAsia="Times New Roman" w:cstheme="minorHAnsi"/>
                <w:b/>
                <w:bCs/>
                <w:i/>
                <w:iCs/>
                <w:color w:val="000000"/>
                <w:sz w:val="24"/>
                <w:szCs w:val="24"/>
              </w:rPr>
            </w:pPr>
            <w:r w:rsidRPr="00054E92">
              <w:rPr>
                <w:rFonts w:eastAsia="Times New Roman" w:cstheme="minorHAnsi"/>
                <w:b/>
                <w:bCs/>
                <w:i/>
                <w:iCs/>
                <w:color w:val="000000"/>
                <w:sz w:val="24"/>
                <w:szCs w:val="24"/>
              </w:rPr>
              <w:t>0.2%</w:t>
            </w:r>
          </w:p>
        </w:tc>
      </w:tr>
      <w:tr w:rsidR="00DC2C46" w:rsidRPr="00054E92" w:rsidTr="00DB6B91">
        <w:trPr>
          <w:trHeight w:val="276"/>
        </w:trPr>
        <w:tc>
          <w:tcPr>
            <w:tcW w:w="2947" w:type="dxa"/>
            <w:tcBorders>
              <w:top w:val="nil"/>
              <w:left w:val="single" w:sz="8" w:space="0" w:color="auto"/>
              <w:bottom w:val="single" w:sz="4" w:space="0" w:color="auto"/>
              <w:right w:val="single" w:sz="8" w:space="0" w:color="auto"/>
            </w:tcBorders>
            <w:shd w:val="clear" w:color="9999FF" w:fill="C0C0C0"/>
            <w:vAlign w:val="bottom"/>
            <w:hideMark/>
          </w:tcPr>
          <w:p w:rsidR="00DC2C46" w:rsidRPr="00054E92" w:rsidRDefault="00DC2C46" w:rsidP="00DC2C46">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Grays Harbor CPI</w:t>
            </w:r>
          </w:p>
        </w:tc>
        <w:tc>
          <w:tcPr>
            <w:tcW w:w="1114" w:type="dxa"/>
            <w:tcBorders>
              <w:top w:val="nil"/>
              <w:left w:val="nil"/>
              <w:bottom w:val="single" w:sz="4" w:space="0" w:color="auto"/>
              <w:right w:val="single" w:sz="4" w:space="0" w:color="auto"/>
            </w:tcBorders>
            <w:shd w:val="clear" w:color="9999FF" w:fill="C0C0C0"/>
            <w:noWrap/>
            <w:vAlign w:val="bottom"/>
            <w:hideMark/>
          </w:tcPr>
          <w:p w:rsidR="00DC2C46" w:rsidRPr="00054E92" w:rsidRDefault="00DC2C46" w:rsidP="00DC2C46">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13.5%</w:t>
            </w:r>
          </w:p>
        </w:tc>
        <w:tc>
          <w:tcPr>
            <w:tcW w:w="1134" w:type="dxa"/>
            <w:tcBorders>
              <w:top w:val="nil"/>
              <w:left w:val="nil"/>
              <w:bottom w:val="single" w:sz="4" w:space="0" w:color="auto"/>
              <w:right w:val="single" w:sz="4" w:space="0" w:color="auto"/>
            </w:tcBorders>
            <w:shd w:val="clear" w:color="9999FF" w:fill="C0C0C0"/>
            <w:noWrap/>
            <w:vAlign w:val="bottom"/>
            <w:hideMark/>
          </w:tcPr>
          <w:p w:rsidR="00DC2C46" w:rsidRPr="00054E92" w:rsidRDefault="00DC2C46" w:rsidP="00DC2C46">
            <w:pPr>
              <w:spacing w:after="0" w:line="240" w:lineRule="auto"/>
              <w:jc w:val="center"/>
              <w:rPr>
                <w:rFonts w:eastAsia="Times New Roman" w:cstheme="minorHAnsi"/>
                <w:i/>
                <w:iCs/>
                <w:color w:val="000000"/>
                <w:sz w:val="24"/>
                <w:szCs w:val="24"/>
              </w:rPr>
            </w:pPr>
            <w:r w:rsidRPr="00054E92">
              <w:rPr>
                <w:rFonts w:eastAsia="Times New Roman" w:cstheme="minorHAnsi"/>
                <w:i/>
                <w:iCs/>
                <w:color w:val="000000"/>
                <w:sz w:val="24"/>
                <w:szCs w:val="24"/>
              </w:rPr>
              <w:t>2.7%</w:t>
            </w:r>
          </w:p>
        </w:tc>
        <w:tc>
          <w:tcPr>
            <w:tcW w:w="1825" w:type="dxa"/>
            <w:vMerge/>
            <w:tcBorders>
              <w:top w:val="nil"/>
              <w:left w:val="single" w:sz="4" w:space="0" w:color="auto"/>
              <w:bottom w:val="single" w:sz="4" w:space="0" w:color="auto"/>
              <w:right w:val="single" w:sz="8" w:space="0" w:color="auto"/>
            </w:tcBorders>
            <w:vAlign w:val="center"/>
            <w:hideMark/>
          </w:tcPr>
          <w:p w:rsidR="00DC2C46" w:rsidRPr="00054E92" w:rsidRDefault="00DC2C46" w:rsidP="00DC2C46">
            <w:pPr>
              <w:spacing w:after="0" w:line="240" w:lineRule="auto"/>
              <w:rPr>
                <w:rFonts w:eastAsia="Times New Roman" w:cstheme="minorHAnsi"/>
                <w:b/>
                <w:bCs/>
                <w:i/>
                <w:iCs/>
                <w:color w:val="000000"/>
                <w:sz w:val="24"/>
                <w:szCs w:val="24"/>
              </w:rPr>
            </w:pPr>
          </w:p>
        </w:tc>
        <w:tc>
          <w:tcPr>
            <w:tcW w:w="1134" w:type="dxa"/>
            <w:tcBorders>
              <w:top w:val="nil"/>
              <w:left w:val="nil"/>
              <w:bottom w:val="single" w:sz="4" w:space="0" w:color="auto"/>
              <w:right w:val="single" w:sz="4" w:space="0" w:color="auto"/>
            </w:tcBorders>
            <w:shd w:val="clear" w:color="9999FF" w:fill="C0C0C0"/>
            <w:noWrap/>
            <w:vAlign w:val="bottom"/>
            <w:hideMark/>
          </w:tcPr>
          <w:p w:rsidR="00DC2C46" w:rsidRPr="00054E92" w:rsidRDefault="00DC2C46" w:rsidP="00DC2C46">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5.5%</w:t>
            </w:r>
          </w:p>
        </w:tc>
        <w:tc>
          <w:tcPr>
            <w:tcW w:w="1057" w:type="dxa"/>
            <w:tcBorders>
              <w:top w:val="nil"/>
              <w:left w:val="nil"/>
              <w:bottom w:val="single" w:sz="4" w:space="0" w:color="auto"/>
              <w:right w:val="single" w:sz="4" w:space="0" w:color="auto"/>
            </w:tcBorders>
            <w:shd w:val="clear" w:color="000000" w:fill="C0C0C0"/>
            <w:noWrap/>
            <w:vAlign w:val="bottom"/>
            <w:hideMark/>
          </w:tcPr>
          <w:p w:rsidR="00DC2C46" w:rsidRPr="00054E92" w:rsidRDefault="00DC2C46" w:rsidP="00DC2C46">
            <w:pPr>
              <w:spacing w:after="0" w:line="240" w:lineRule="auto"/>
              <w:jc w:val="right"/>
              <w:rPr>
                <w:rFonts w:eastAsia="Times New Roman" w:cstheme="minorHAnsi"/>
                <w:i/>
                <w:iCs/>
                <w:sz w:val="24"/>
                <w:szCs w:val="24"/>
              </w:rPr>
            </w:pPr>
            <w:r w:rsidRPr="00054E92">
              <w:rPr>
                <w:rFonts w:eastAsia="Times New Roman" w:cstheme="minorHAnsi"/>
                <w:i/>
                <w:iCs/>
                <w:sz w:val="24"/>
                <w:szCs w:val="24"/>
              </w:rPr>
              <w:t>2.8%</w:t>
            </w:r>
          </w:p>
        </w:tc>
        <w:tc>
          <w:tcPr>
            <w:tcW w:w="1844" w:type="dxa"/>
            <w:vMerge/>
            <w:tcBorders>
              <w:top w:val="nil"/>
              <w:left w:val="single" w:sz="4" w:space="0" w:color="auto"/>
              <w:bottom w:val="single" w:sz="4" w:space="0" w:color="auto"/>
              <w:right w:val="single" w:sz="8" w:space="0" w:color="auto"/>
            </w:tcBorders>
            <w:vAlign w:val="center"/>
            <w:hideMark/>
          </w:tcPr>
          <w:p w:rsidR="00DC2C46" w:rsidRPr="00054E92" w:rsidRDefault="00DC2C46" w:rsidP="00DC2C46">
            <w:pPr>
              <w:spacing w:after="0" w:line="240" w:lineRule="auto"/>
              <w:rPr>
                <w:rFonts w:eastAsia="Times New Roman" w:cstheme="minorHAnsi"/>
                <w:b/>
                <w:bCs/>
                <w:i/>
                <w:iCs/>
                <w:color w:val="000000"/>
                <w:sz w:val="24"/>
                <w:szCs w:val="24"/>
              </w:rPr>
            </w:pPr>
          </w:p>
        </w:tc>
      </w:tr>
      <w:tr w:rsidR="00DC2C46" w:rsidRPr="00054E92" w:rsidTr="00DB6B91">
        <w:trPr>
          <w:trHeight w:val="276"/>
        </w:trPr>
        <w:tc>
          <w:tcPr>
            <w:tcW w:w="2947" w:type="dxa"/>
            <w:tcBorders>
              <w:top w:val="nil"/>
              <w:left w:val="single" w:sz="8" w:space="0" w:color="auto"/>
              <w:bottom w:val="single" w:sz="4" w:space="0" w:color="auto"/>
              <w:right w:val="single" w:sz="8" w:space="0" w:color="auto"/>
            </w:tcBorders>
            <w:shd w:val="clear" w:color="000000" w:fill="333333"/>
            <w:vAlign w:val="bottom"/>
            <w:hideMark/>
          </w:tcPr>
          <w:p w:rsidR="00DC2C46" w:rsidRPr="00054E92" w:rsidRDefault="00DC2C46" w:rsidP="00DC2C46">
            <w:pPr>
              <w:spacing w:after="0" w:line="240" w:lineRule="auto"/>
              <w:rPr>
                <w:rFonts w:eastAsia="Times New Roman" w:cstheme="minorHAnsi"/>
                <w:b/>
                <w:bCs/>
                <w:color w:val="FFFFFF"/>
                <w:sz w:val="24"/>
                <w:szCs w:val="24"/>
              </w:rPr>
            </w:pPr>
            <w:r w:rsidRPr="00054E92">
              <w:rPr>
                <w:rFonts w:eastAsia="Times New Roman" w:cstheme="minorHAnsi"/>
                <w:b/>
                <w:bCs/>
                <w:color w:val="FFFFFF"/>
                <w:sz w:val="24"/>
                <w:szCs w:val="24"/>
              </w:rPr>
              <w:t>OHIO</w:t>
            </w:r>
          </w:p>
        </w:tc>
        <w:tc>
          <w:tcPr>
            <w:tcW w:w="4073" w:type="dxa"/>
            <w:gridSpan w:val="3"/>
            <w:tcBorders>
              <w:top w:val="single" w:sz="4" w:space="0" w:color="auto"/>
              <w:left w:val="nil"/>
              <w:bottom w:val="single" w:sz="4" w:space="0" w:color="auto"/>
              <w:right w:val="single" w:sz="8" w:space="0" w:color="000000"/>
            </w:tcBorders>
            <w:shd w:val="clear" w:color="000000" w:fill="333333"/>
            <w:vAlign w:val="center"/>
            <w:hideMark/>
          </w:tcPr>
          <w:p w:rsidR="00DC2C46" w:rsidRPr="00054E92" w:rsidRDefault="00DC2C46" w:rsidP="00DC2C46">
            <w:pPr>
              <w:spacing w:after="0" w:line="240" w:lineRule="auto"/>
              <w:jc w:val="center"/>
              <w:rPr>
                <w:rFonts w:eastAsia="Times New Roman" w:cstheme="minorHAnsi"/>
                <w:b/>
                <w:bCs/>
                <w:color w:val="FFFFFF"/>
                <w:sz w:val="24"/>
                <w:szCs w:val="24"/>
              </w:rPr>
            </w:pPr>
            <w:r w:rsidRPr="00054E92">
              <w:rPr>
                <w:rFonts w:eastAsia="Times New Roman" w:cstheme="minorHAnsi"/>
                <w:b/>
                <w:bCs/>
                <w:color w:val="FFFFFF"/>
                <w:sz w:val="24"/>
                <w:szCs w:val="24"/>
              </w:rPr>
              <w:t> </w:t>
            </w:r>
          </w:p>
        </w:tc>
        <w:tc>
          <w:tcPr>
            <w:tcW w:w="4035" w:type="dxa"/>
            <w:gridSpan w:val="3"/>
            <w:tcBorders>
              <w:top w:val="single" w:sz="4" w:space="0" w:color="auto"/>
              <w:left w:val="nil"/>
              <w:bottom w:val="single" w:sz="4" w:space="0" w:color="auto"/>
              <w:right w:val="single" w:sz="8" w:space="0" w:color="000000"/>
            </w:tcBorders>
            <w:shd w:val="clear" w:color="000000" w:fill="333333"/>
            <w:vAlign w:val="center"/>
            <w:hideMark/>
          </w:tcPr>
          <w:p w:rsidR="00DC2C46" w:rsidRPr="00054E92" w:rsidRDefault="00DC2C46" w:rsidP="00DC2C46">
            <w:pPr>
              <w:spacing w:after="0" w:line="240" w:lineRule="auto"/>
              <w:jc w:val="center"/>
              <w:rPr>
                <w:rFonts w:eastAsia="Times New Roman" w:cstheme="minorHAnsi"/>
                <w:b/>
                <w:bCs/>
                <w:color w:val="FFFFFF"/>
                <w:sz w:val="24"/>
                <w:szCs w:val="24"/>
              </w:rPr>
            </w:pPr>
            <w:r w:rsidRPr="00054E92">
              <w:rPr>
                <w:rFonts w:eastAsia="Times New Roman" w:cstheme="minorHAnsi"/>
                <w:b/>
                <w:bCs/>
                <w:color w:val="FFFFFF"/>
                <w:sz w:val="24"/>
                <w:szCs w:val="24"/>
              </w:rPr>
              <w:t xml:space="preserve">2008-2011 </w:t>
            </w:r>
          </w:p>
        </w:tc>
      </w:tr>
      <w:tr w:rsidR="00DC2C46" w:rsidRPr="00054E92" w:rsidTr="00DB6B91">
        <w:trPr>
          <w:trHeight w:val="276"/>
        </w:trPr>
        <w:tc>
          <w:tcPr>
            <w:tcW w:w="2947" w:type="dxa"/>
            <w:tcBorders>
              <w:top w:val="nil"/>
              <w:left w:val="single" w:sz="8" w:space="0" w:color="auto"/>
              <w:bottom w:val="single" w:sz="4" w:space="0" w:color="auto"/>
              <w:right w:val="single" w:sz="8" w:space="0" w:color="auto"/>
            </w:tcBorders>
            <w:shd w:val="clear" w:color="auto" w:fill="auto"/>
            <w:vAlign w:val="bottom"/>
            <w:hideMark/>
          </w:tcPr>
          <w:p w:rsidR="00DC2C46" w:rsidRPr="00054E92" w:rsidRDefault="00DC2C46" w:rsidP="00DC2C46">
            <w:pPr>
              <w:spacing w:after="0" w:line="240" w:lineRule="auto"/>
              <w:rPr>
                <w:rFonts w:eastAsia="Times New Roman" w:cstheme="minorHAnsi"/>
                <w:b/>
                <w:bCs/>
                <w:color w:val="000000"/>
                <w:sz w:val="24"/>
                <w:szCs w:val="24"/>
              </w:rPr>
            </w:pPr>
            <w:r w:rsidRPr="00054E92">
              <w:rPr>
                <w:rFonts w:eastAsia="Times New Roman" w:cstheme="minorHAnsi"/>
                <w:b/>
                <w:bCs/>
                <w:color w:val="000000"/>
                <w:sz w:val="24"/>
                <w:szCs w:val="24"/>
              </w:rPr>
              <w:t>Hamilton County SSS</w:t>
            </w:r>
          </w:p>
        </w:tc>
        <w:tc>
          <w:tcPr>
            <w:tcW w:w="4073" w:type="dxa"/>
            <w:gridSpan w:val="3"/>
            <w:vMerge w:val="restart"/>
            <w:tcBorders>
              <w:top w:val="single" w:sz="4" w:space="0" w:color="auto"/>
              <w:left w:val="single" w:sz="8" w:space="0" w:color="auto"/>
              <w:bottom w:val="single" w:sz="12" w:space="0" w:color="808080"/>
              <w:right w:val="single" w:sz="8" w:space="0" w:color="000000"/>
            </w:tcBorders>
            <w:shd w:val="clear" w:color="auto" w:fill="auto"/>
            <w:noWrap/>
            <w:vAlign w:val="bottom"/>
            <w:hideMark/>
          </w:tcPr>
          <w:p w:rsidR="00DC2C46" w:rsidRPr="00054E92" w:rsidRDefault="00DC2C46" w:rsidP="00DC2C46">
            <w:pPr>
              <w:spacing w:after="0" w:line="240" w:lineRule="auto"/>
              <w:rPr>
                <w:rFonts w:eastAsia="Times New Roman" w:cstheme="minorHAnsi"/>
                <w:b/>
                <w:bCs/>
                <w:color w:val="000000"/>
                <w:sz w:val="24"/>
                <w:szCs w:val="24"/>
              </w:rPr>
            </w:pPr>
            <w:r w:rsidRPr="00054E92">
              <w:rPr>
                <w:rFonts w:eastAsia="Times New Roman" w:cstheme="minorHAnsi"/>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DC2C46" w:rsidRPr="00054E92" w:rsidRDefault="00DC2C46" w:rsidP="00DC2C46">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10.5%</w:t>
            </w:r>
          </w:p>
        </w:tc>
        <w:tc>
          <w:tcPr>
            <w:tcW w:w="1057" w:type="dxa"/>
            <w:tcBorders>
              <w:top w:val="nil"/>
              <w:left w:val="nil"/>
              <w:bottom w:val="single" w:sz="4" w:space="0" w:color="auto"/>
              <w:right w:val="single" w:sz="4" w:space="0" w:color="auto"/>
            </w:tcBorders>
            <w:shd w:val="clear" w:color="auto" w:fill="auto"/>
            <w:noWrap/>
            <w:vAlign w:val="bottom"/>
            <w:hideMark/>
          </w:tcPr>
          <w:p w:rsidR="00DC2C46" w:rsidRPr="00054E92" w:rsidRDefault="00DC2C46" w:rsidP="00DC2C46">
            <w:pPr>
              <w:spacing w:after="0" w:line="240" w:lineRule="auto"/>
              <w:jc w:val="right"/>
              <w:rPr>
                <w:rFonts w:eastAsia="Times New Roman" w:cstheme="minorHAnsi"/>
                <w:b/>
                <w:bCs/>
                <w:i/>
                <w:iCs/>
                <w:sz w:val="24"/>
                <w:szCs w:val="24"/>
              </w:rPr>
            </w:pPr>
            <w:r w:rsidRPr="00054E92">
              <w:rPr>
                <w:rFonts w:eastAsia="Times New Roman" w:cstheme="minorHAnsi"/>
                <w:b/>
                <w:bCs/>
                <w:i/>
                <w:iCs/>
                <w:sz w:val="24"/>
                <w:szCs w:val="24"/>
              </w:rPr>
              <w:t>3.5%</w:t>
            </w:r>
          </w:p>
        </w:tc>
        <w:tc>
          <w:tcPr>
            <w:tcW w:w="1844" w:type="dxa"/>
            <w:vMerge w:val="restart"/>
            <w:tcBorders>
              <w:top w:val="nil"/>
              <w:left w:val="single" w:sz="4" w:space="0" w:color="auto"/>
              <w:bottom w:val="single" w:sz="12" w:space="0" w:color="808080"/>
              <w:right w:val="single" w:sz="8" w:space="0" w:color="auto"/>
            </w:tcBorders>
            <w:shd w:val="clear" w:color="auto" w:fill="auto"/>
            <w:noWrap/>
            <w:vAlign w:val="center"/>
            <w:hideMark/>
          </w:tcPr>
          <w:p w:rsidR="00DC2C46" w:rsidRPr="00054E92" w:rsidRDefault="00DC2C46" w:rsidP="00DC2C46">
            <w:pPr>
              <w:spacing w:after="0" w:line="240" w:lineRule="auto"/>
              <w:jc w:val="center"/>
              <w:rPr>
                <w:rFonts w:eastAsia="Times New Roman" w:cstheme="minorHAnsi"/>
                <w:b/>
                <w:bCs/>
                <w:i/>
                <w:iCs/>
                <w:color w:val="000000"/>
                <w:sz w:val="24"/>
                <w:szCs w:val="24"/>
              </w:rPr>
            </w:pPr>
            <w:r w:rsidRPr="00054E92">
              <w:rPr>
                <w:rFonts w:eastAsia="Times New Roman" w:cstheme="minorHAnsi"/>
                <w:b/>
                <w:bCs/>
                <w:i/>
                <w:iCs/>
                <w:color w:val="000000"/>
                <w:sz w:val="24"/>
                <w:szCs w:val="24"/>
              </w:rPr>
              <w:t>2.9%</w:t>
            </w:r>
          </w:p>
        </w:tc>
      </w:tr>
      <w:tr w:rsidR="00DC2C46" w:rsidRPr="00054E92" w:rsidTr="00DB6B91">
        <w:trPr>
          <w:trHeight w:val="276"/>
        </w:trPr>
        <w:tc>
          <w:tcPr>
            <w:tcW w:w="2947" w:type="dxa"/>
            <w:tcBorders>
              <w:top w:val="nil"/>
              <w:left w:val="single" w:sz="8" w:space="0" w:color="auto"/>
              <w:bottom w:val="single" w:sz="12" w:space="0" w:color="808080"/>
              <w:right w:val="single" w:sz="8" w:space="0" w:color="auto"/>
            </w:tcBorders>
            <w:shd w:val="clear" w:color="auto" w:fill="auto"/>
            <w:vAlign w:val="bottom"/>
            <w:hideMark/>
          </w:tcPr>
          <w:p w:rsidR="00DC2C46" w:rsidRPr="00054E92" w:rsidRDefault="00DC2C46" w:rsidP="00DC2C46">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Hamilton County CPI</w:t>
            </w:r>
          </w:p>
        </w:tc>
        <w:tc>
          <w:tcPr>
            <w:tcW w:w="4073" w:type="dxa"/>
            <w:gridSpan w:val="3"/>
            <w:vMerge/>
            <w:tcBorders>
              <w:top w:val="nil"/>
              <w:left w:val="single" w:sz="8" w:space="0" w:color="auto"/>
              <w:bottom w:val="single" w:sz="12" w:space="0" w:color="808080"/>
              <w:right w:val="single" w:sz="8" w:space="0" w:color="auto"/>
            </w:tcBorders>
            <w:vAlign w:val="center"/>
            <w:hideMark/>
          </w:tcPr>
          <w:p w:rsidR="00DC2C46" w:rsidRPr="00054E92" w:rsidRDefault="00DC2C46" w:rsidP="00DC2C46">
            <w:pPr>
              <w:spacing w:after="0" w:line="240" w:lineRule="auto"/>
              <w:rPr>
                <w:rFonts w:eastAsia="Times New Roman" w:cstheme="minorHAnsi"/>
                <w:b/>
                <w:bCs/>
                <w:color w:val="000000"/>
                <w:sz w:val="24"/>
                <w:szCs w:val="24"/>
              </w:rPr>
            </w:pPr>
          </w:p>
        </w:tc>
        <w:tc>
          <w:tcPr>
            <w:tcW w:w="1134" w:type="dxa"/>
            <w:tcBorders>
              <w:top w:val="nil"/>
              <w:left w:val="nil"/>
              <w:bottom w:val="single" w:sz="12" w:space="0" w:color="808080"/>
              <w:right w:val="single" w:sz="4" w:space="0" w:color="auto"/>
            </w:tcBorders>
            <w:shd w:val="clear" w:color="auto" w:fill="auto"/>
            <w:noWrap/>
            <w:vAlign w:val="bottom"/>
            <w:hideMark/>
          </w:tcPr>
          <w:p w:rsidR="00DC2C46" w:rsidRPr="00054E92" w:rsidRDefault="00DC2C46" w:rsidP="00DC2C46">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1.7%</w:t>
            </w:r>
          </w:p>
        </w:tc>
        <w:tc>
          <w:tcPr>
            <w:tcW w:w="1057" w:type="dxa"/>
            <w:tcBorders>
              <w:top w:val="nil"/>
              <w:left w:val="nil"/>
              <w:bottom w:val="single" w:sz="12" w:space="0" w:color="808080"/>
              <w:right w:val="single" w:sz="4" w:space="0" w:color="auto"/>
            </w:tcBorders>
            <w:shd w:val="clear" w:color="auto" w:fill="auto"/>
            <w:noWrap/>
            <w:vAlign w:val="bottom"/>
            <w:hideMark/>
          </w:tcPr>
          <w:p w:rsidR="00DC2C46" w:rsidRPr="00054E92" w:rsidRDefault="00DC2C46" w:rsidP="00DC2C46">
            <w:pPr>
              <w:spacing w:after="0" w:line="240" w:lineRule="auto"/>
              <w:jc w:val="right"/>
              <w:rPr>
                <w:rFonts w:eastAsia="Times New Roman" w:cstheme="minorHAnsi"/>
                <w:i/>
                <w:iCs/>
                <w:sz w:val="24"/>
                <w:szCs w:val="24"/>
              </w:rPr>
            </w:pPr>
            <w:r w:rsidRPr="00054E92">
              <w:rPr>
                <w:rFonts w:eastAsia="Times New Roman" w:cstheme="minorHAnsi"/>
                <w:i/>
                <w:iCs/>
                <w:sz w:val="24"/>
                <w:szCs w:val="24"/>
              </w:rPr>
              <w:t>0.6%</w:t>
            </w:r>
          </w:p>
        </w:tc>
        <w:tc>
          <w:tcPr>
            <w:tcW w:w="1844" w:type="dxa"/>
            <w:vMerge/>
            <w:tcBorders>
              <w:top w:val="nil"/>
              <w:left w:val="single" w:sz="4" w:space="0" w:color="auto"/>
              <w:bottom w:val="single" w:sz="12" w:space="0" w:color="808080"/>
              <w:right w:val="single" w:sz="8" w:space="0" w:color="auto"/>
            </w:tcBorders>
            <w:vAlign w:val="center"/>
            <w:hideMark/>
          </w:tcPr>
          <w:p w:rsidR="00DC2C46" w:rsidRPr="00054E92" w:rsidRDefault="00DC2C46" w:rsidP="00DC2C46">
            <w:pPr>
              <w:spacing w:after="0" w:line="240" w:lineRule="auto"/>
              <w:rPr>
                <w:rFonts w:eastAsia="Times New Roman" w:cstheme="minorHAnsi"/>
                <w:b/>
                <w:bCs/>
                <w:i/>
                <w:iCs/>
                <w:color w:val="000000"/>
                <w:sz w:val="24"/>
                <w:szCs w:val="24"/>
              </w:rPr>
            </w:pPr>
          </w:p>
        </w:tc>
      </w:tr>
      <w:tr w:rsidR="00DC2C46" w:rsidRPr="00054E92" w:rsidTr="00DB6B91">
        <w:trPr>
          <w:trHeight w:val="276"/>
        </w:trPr>
        <w:tc>
          <w:tcPr>
            <w:tcW w:w="2947" w:type="dxa"/>
            <w:tcBorders>
              <w:top w:val="nil"/>
              <w:left w:val="single" w:sz="8" w:space="0" w:color="auto"/>
              <w:bottom w:val="single" w:sz="4" w:space="0" w:color="auto"/>
              <w:right w:val="single" w:sz="8" w:space="0" w:color="auto"/>
            </w:tcBorders>
            <w:shd w:val="clear" w:color="9999FF" w:fill="C0C0C0"/>
            <w:vAlign w:val="bottom"/>
            <w:hideMark/>
          </w:tcPr>
          <w:p w:rsidR="00DC2C46" w:rsidRPr="00054E92" w:rsidRDefault="00DC2C46" w:rsidP="00DC2C46">
            <w:pPr>
              <w:spacing w:after="0" w:line="240" w:lineRule="auto"/>
              <w:rPr>
                <w:rFonts w:eastAsia="Times New Roman" w:cstheme="minorHAnsi"/>
                <w:b/>
                <w:bCs/>
                <w:color w:val="000000"/>
                <w:sz w:val="24"/>
                <w:szCs w:val="24"/>
              </w:rPr>
            </w:pPr>
            <w:r w:rsidRPr="00054E92">
              <w:rPr>
                <w:rFonts w:eastAsia="Times New Roman" w:cstheme="minorHAnsi"/>
                <w:b/>
                <w:bCs/>
                <w:color w:val="000000"/>
                <w:sz w:val="24"/>
                <w:szCs w:val="24"/>
              </w:rPr>
              <w:t>Belmont County SSS</w:t>
            </w:r>
          </w:p>
        </w:tc>
        <w:tc>
          <w:tcPr>
            <w:tcW w:w="4073" w:type="dxa"/>
            <w:gridSpan w:val="3"/>
            <w:vMerge w:val="restart"/>
            <w:tcBorders>
              <w:top w:val="single" w:sz="12" w:space="0" w:color="808080"/>
              <w:left w:val="single" w:sz="8" w:space="0" w:color="auto"/>
              <w:bottom w:val="single" w:sz="4" w:space="0" w:color="000000"/>
              <w:right w:val="single" w:sz="8" w:space="0" w:color="000000"/>
            </w:tcBorders>
            <w:shd w:val="clear" w:color="9999FF" w:fill="C0C0C0"/>
            <w:noWrap/>
            <w:vAlign w:val="bottom"/>
            <w:hideMark/>
          </w:tcPr>
          <w:p w:rsidR="00DC2C46" w:rsidRPr="00054E92" w:rsidRDefault="00DC2C46" w:rsidP="00DC2C46">
            <w:pPr>
              <w:spacing w:after="0" w:line="240" w:lineRule="auto"/>
              <w:rPr>
                <w:rFonts w:eastAsia="Times New Roman" w:cstheme="minorHAnsi"/>
                <w:b/>
                <w:bCs/>
                <w:color w:val="000000"/>
                <w:sz w:val="24"/>
                <w:szCs w:val="24"/>
              </w:rPr>
            </w:pPr>
            <w:r w:rsidRPr="00054E92">
              <w:rPr>
                <w:rFonts w:eastAsia="Times New Roman" w:cstheme="minorHAnsi"/>
                <w:b/>
                <w:bCs/>
                <w:color w:val="000000"/>
                <w:sz w:val="24"/>
                <w:szCs w:val="24"/>
              </w:rPr>
              <w:t> </w:t>
            </w:r>
          </w:p>
        </w:tc>
        <w:tc>
          <w:tcPr>
            <w:tcW w:w="1134" w:type="dxa"/>
            <w:tcBorders>
              <w:top w:val="nil"/>
              <w:left w:val="nil"/>
              <w:bottom w:val="single" w:sz="4" w:space="0" w:color="auto"/>
              <w:right w:val="single" w:sz="4" w:space="0" w:color="auto"/>
            </w:tcBorders>
            <w:shd w:val="clear" w:color="9999FF" w:fill="C0C0C0"/>
            <w:noWrap/>
            <w:vAlign w:val="bottom"/>
            <w:hideMark/>
          </w:tcPr>
          <w:p w:rsidR="00DC2C46" w:rsidRPr="00054E92" w:rsidRDefault="00DC2C46" w:rsidP="00DC2C46">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11.7%</w:t>
            </w:r>
          </w:p>
        </w:tc>
        <w:tc>
          <w:tcPr>
            <w:tcW w:w="1057" w:type="dxa"/>
            <w:tcBorders>
              <w:top w:val="nil"/>
              <w:left w:val="nil"/>
              <w:bottom w:val="single" w:sz="4" w:space="0" w:color="auto"/>
              <w:right w:val="single" w:sz="4" w:space="0" w:color="auto"/>
            </w:tcBorders>
            <w:shd w:val="clear" w:color="000000" w:fill="C0C0C0"/>
            <w:noWrap/>
            <w:vAlign w:val="bottom"/>
            <w:hideMark/>
          </w:tcPr>
          <w:p w:rsidR="00DC2C46" w:rsidRPr="00054E92" w:rsidRDefault="00DC2C46" w:rsidP="00DC2C46">
            <w:pPr>
              <w:spacing w:after="0" w:line="240" w:lineRule="auto"/>
              <w:jc w:val="right"/>
              <w:rPr>
                <w:rFonts w:eastAsia="Times New Roman" w:cstheme="minorHAnsi"/>
                <w:b/>
                <w:bCs/>
                <w:i/>
                <w:iCs/>
                <w:sz w:val="24"/>
                <w:szCs w:val="24"/>
              </w:rPr>
            </w:pPr>
            <w:r w:rsidRPr="00054E92">
              <w:rPr>
                <w:rFonts w:eastAsia="Times New Roman" w:cstheme="minorHAnsi"/>
                <w:b/>
                <w:bCs/>
                <w:i/>
                <w:iCs/>
                <w:sz w:val="24"/>
                <w:szCs w:val="24"/>
              </w:rPr>
              <w:t>3.9%</w:t>
            </w:r>
          </w:p>
        </w:tc>
        <w:tc>
          <w:tcPr>
            <w:tcW w:w="1844" w:type="dxa"/>
            <w:vMerge w:val="restart"/>
            <w:tcBorders>
              <w:top w:val="nil"/>
              <w:left w:val="single" w:sz="4" w:space="0" w:color="auto"/>
              <w:bottom w:val="single" w:sz="4" w:space="0" w:color="auto"/>
              <w:right w:val="single" w:sz="8" w:space="0" w:color="auto"/>
            </w:tcBorders>
            <w:shd w:val="clear" w:color="9999FF" w:fill="C0C0C0"/>
            <w:noWrap/>
            <w:vAlign w:val="center"/>
            <w:hideMark/>
          </w:tcPr>
          <w:p w:rsidR="00DC2C46" w:rsidRPr="00054E92" w:rsidRDefault="00DC2C46" w:rsidP="00DC2C46">
            <w:pPr>
              <w:spacing w:after="0" w:line="240" w:lineRule="auto"/>
              <w:jc w:val="center"/>
              <w:rPr>
                <w:rFonts w:eastAsia="Times New Roman" w:cstheme="minorHAnsi"/>
                <w:b/>
                <w:bCs/>
                <w:i/>
                <w:iCs/>
                <w:color w:val="000000"/>
                <w:sz w:val="24"/>
                <w:szCs w:val="24"/>
              </w:rPr>
            </w:pPr>
            <w:r w:rsidRPr="00054E92">
              <w:rPr>
                <w:rFonts w:eastAsia="Times New Roman" w:cstheme="minorHAnsi"/>
                <w:b/>
                <w:bCs/>
                <w:i/>
                <w:iCs/>
                <w:color w:val="000000"/>
                <w:sz w:val="24"/>
                <w:szCs w:val="24"/>
              </w:rPr>
              <w:t>3.4%</w:t>
            </w:r>
          </w:p>
        </w:tc>
      </w:tr>
      <w:tr w:rsidR="00DC2C46" w:rsidRPr="00054E92" w:rsidTr="00DB6B91">
        <w:trPr>
          <w:trHeight w:val="276"/>
        </w:trPr>
        <w:tc>
          <w:tcPr>
            <w:tcW w:w="2947" w:type="dxa"/>
            <w:tcBorders>
              <w:top w:val="nil"/>
              <w:left w:val="single" w:sz="8" w:space="0" w:color="auto"/>
              <w:bottom w:val="single" w:sz="4" w:space="0" w:color="auto"/>
              <w:right w:val="single" w:sz="8" w:space="0" w:color="auto"/>
            </w:tcBorders>
            <w:shd w:val="clear" w:color="9999FF" w:fill="C0C0C0"/>
            <w:vAlign w:val="bottom"/>
            <w:hideMark/>
          </w:tcPr>
          <w:p w:rsidR="00DC2C46" w:rsidRPr="00054E92" w:rsidRDefault="00DC2C46" w:rsidP="00DC2C46">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Belmont County CPI</w:t>
            </w:r>
          </w:p>
        </w:tc>
        <w:tc>
          <w:tcPr>
            <w:tcW w:w="4073" w:type="dxa"/>
            <w:gridSpan w:val="3"/>
            <w:vMerge/>
            <w:tcBorders>
              <w:top w:val="nil"/>
              <w:left w:val="single" w:sz="8" w:space="0" w:color="auto"/>
              <w:bottom w:val="single" w:sz="4" w:space="0" w:color="auto"/>
              <w:right w:val="single" w:sz="8" w:space="0" w:color="auto"/>
            </w:tcBorders>
            <w:vAlign w:val="center"/>
            <w:hideMark/>
          </w:tcPr>
          <w:p w:rsidR="00DC2C46" w:rsidRPr="00054E92" w:rsidRDefault="00DC2C46" w:rsidP="00DC2C46">
            <w:pPr>
              <w:spacing w:after="0" w:line="240" w:lineRule="auto"/>
              <w:rPr>
                <w:rFonts w:eastAsia="Times New Roman" w:cstheme="minorHAnsi"/>
                <w:b/>
                <w:bCs/>
                <w:color w:val="000000"/>
                <w:sz w:val="24"/>
                <w:szCs w:val="24"/>
              </w:rPr>
            </w:pPr>
          </w:p>
        </w:tc>
        <w:tc>
          <w:tcPr>
            <w:tcW w:w="1134" w:type="dxa"/>
            <w:tcBorders>
              <w:top w:val="nil"/>
              <w:left w:val="nil"/>
              <w:bottom w:val="single" w:sz="4" w:space="0" w:color="auto"/>
              <w:right w:val="single" w:sz="4" w:space="0" w:color="auto"/>
            </w:tcBorders>
            <w:shd w:val="clear" w:color="9999FF" w:fill="C0C0C0"/>
            <w:noWrap/>
            <w:vAlign w:val="bottom"/>
            <w:hideMark/>
          </w:tcPr>
          <w:p w:rsidR="00DC2C46" w:rsidRPr="00054E92" w:rsidRDefault="00DC2C46" w:rsidP="00DC2C46">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1.7%</w:t>
            </w:r>
          </w:p>
        </w:tc>
        <w:tc>
          <w:tcPr>
            <w:tcW w:w="1057" w:type="dxa"/>
            <w:tcBorders>
              <w:top w:val="nil"/>
              <w:left w:val="nil"/>
              <w:bottom w:val="single" w:sz="4" w:space="0" w:color="auto"/>
              <w:right w:val="single" w:sz="4" w:space="0" w:color="auto"/>
            </w:tcBorders>
            <w:shd w:val="clear" w:color="000000" w:fill="C0C0C0"/>
            <w:noWrap/>
            <w:vAlign w:val="bottom"/>
            <w:hideMark/>
          </w:tcPr>
          <w:p w:rsidR="00DC2C46" w:rsidRPr="00054E92" w:rsidRDefault="00DC2C46" w:rsidP="00DC2C46">
            <w:pPr>
              <w:spacing w:after="0" w:line="240" w:lineRule="auto"/>
              <w:jc w:val="right"/>
              <w:rPr>
                <w:rFonts w:eastAsia="Times New Roman" w:cstheme="minorHAnsi"/>
                <w:i/>
                <w:iCs/>
                <w:sz w:val="24"/>
                <w:szCs w:val="24"/>
              </w:rPr>
            </w:pPr>
            <w:r w:rsidRPr="00054E92">
              <w:rPr>
                <w:rFonts w:eastAsia="Times New Roman" w:cstheme="minorHAnsi"/>
                <w:i/>
                <w:iCs/>
                <w:sz w:val="24"/>
                <w:szCs w:val="24"/>
              </w:rPr>
              <w:t>0.6%</w:t>
            </w:r>
          </w:p>
        </w:tc>
        <w:tc>
          <w:tcPr>
            <w:tcW w:w="1844" w:type="dxa"/>
            <w:vMerge/>
            <w:tcBorders>
              <w:top w:val="nil"/>
              <w:left w:val="single" w:sz="4" w:space="0" w:color="auto"/>
              <w:bottom w:val="single" w:sz="4" w:space="0" w:color="auto"/>
              <w:right w:val="single" w:sz="8" w:space="0" w:color="auto"/>
            </w:tcBorders>
            <w:vAlign w:val="center"/>
            <w:hideMark/>
          </w:tcPr>
          <w:p w:rsidR="00DC2C46" w:rsidRPr="00054E92" w:rsidRDefault="00DC2C46" w:rsidP="00DC2C46">
            <w:pPr>
              <w:spacing w:after="0" w:line="240" w:lineRule="auto"/>
              <w:rPr>
                <w:rFonts w:eastAsia="Times New Roman" w:cstheme="minorHAnsi"/>
                <w:b/>
                <w:bCs/>
                <w:i/>
                <w:iCs/>
                <w:color w:val="000000"/>
                <w:sz w:val="24"/>
                <w:szCs w:val="24"/>
              </w:rPr>
            </w:pPr>
          </w:p>
        </w:tc>
      </w:tr>
      <w:tr w:rsidR="00DC2C46" w:rsidRPr="00054E92" w:rsidTr="00DB6B91">
        <w:trPr>
          <w:trHeight w:val="276"/>
        </w:trPr>
        <w:tc>
          <w:tcPr>
            <w:tcW w:w="2947" w:type="dxa"/>
            <w:tcBorders>
              <w:top w:val="nil"/>
              <w:left w:val="single" w:sz="8" w:space="0" w:color="auto"/>
              <w:bottom w:val="single" w:sz="4" w:space="0" w:color="auto"/>
              <w:right w:val="single" w:sz="8" w:space="0" w:color="auto"/>
            </w:tcBorders>
            <w:shd w:val="clear" w:color="000000" w:fill="333333"/>
            <w:vAlign w:val="bottom"/>
            <w:hideMark/>
          </w:tcPr>
          <w:p w:rsidR="00DC2C46" w:rsidRPr="00054E92" w:rsidRDefault="00DC2C46" w:rsidP="00DC2C46">
            <w:pPr>
              <w:spacing w:after="0" w:line="240" w:lineRule="auto"/>
              <w:rPr>
                <w:rFonts w:eastAsia="Times New Roman" w:cstheme="minorHAnsi"/>
                <w:b/>
                <w:bCs/>
                <w:color w:val="FFFFFF"/>
                <w:sz w:val="24"/>
                <w:szCs w:val="24"/>
              </w:rPr>
            </w:pPr>
            <w:r w:rsidRPr="00054E92">
              <w:rPr>
                <w:rFonts w:eastAsia="Times New Roman" w:cstheme="minorHAnsi"/>
                <w:b/>
                <w:bCs/>
                <w:color w:val="FFFFFF"/>
                <w:sz w:val="24"/>
                <w:szCs w:val="24"/>
              </w:rPr>
              <w:t xml:space="preserve">OREGON  </w:t>
            </w:r>
          </w:p>
        </w:tc>
        <w:tc>
          <w:tcPr>
            <w:tcW w:w="4073" w:type="dxa"/>
            <w:gridSpan w:val="3"/>
            <w:tcBorders>
              <w:top w:val="single" w:sz="4" w:space="0" w:color="auto"/>
              <w:left w:val="nil"/>
              <w:bottom w:val="single" w:sz="4" w:space="0" w:color="auto"/>
              <w:right w:val="single" w:sz="8" w:space="0" w:color="000000"/>
            </w:tcBorders>
            <w:shd w:val="clear" w:color="000000" w:fill="333333"/>
            <w:vAlign w:val="center"/>
            <w:hideMark/>
          </w:tcPr>
          <w:p w:rsidR="00DC2C46" w:rsidRPr="00054E92" w:rsidRDefault="00DC2C46" w:rsidP="00DC2C46">
            <w:pPr>
              <w:spacing w:after="0" w:line="240" w:lineRule="auto"/>
              <w:jc w:val="center"/>
              <w:rPr>
                <w:rFonts w:eastAsia="Times New Roman" w:cstheme="minorHAnsi"/>
                <w:b/>
                <w:bCs/>
                <w:color w:val="FFFFFF"/>
                <w:sz w:val="24"/>
                <w:szCs w:val="24"/>
              </w:rPr>
            </w:pPr>
            <w:r w:rsidRPr="00054E92">
              <w:rPr>
                <w:rFonts w:eastAsia="Times New Roman" w:cstheme="minorHAnsi"/>
                <w:b/>
                <w:bCs/>
                <w:color w:val="FFFFFF"/>
                <w:sz w:val="24"/>
                <w:szCs w:val="24"/>
              </w:rPr>
              <w:t> </w:t>
            </w:r>
          </w:p>
        </w:tc>
        <w:tc>
          <w:tcPr>
            <w:tcW w:w="4035" w:type="dxa"/>
            <w:gridSpan w:val="3"/>
            <w:tcBorders>
              <w:top w:val="single" w:sz="4" w:space="0" w:color="auto"/>
              <w:left w:val="nil"/>
              <w:bottom w:val="single" w:sz="4" w:space="0" w:color="auto"/>
              <w:right w:val="single" w:sz="8" w:space="0" w:color="000000"/>
            </w:tcBorders>
            <w:shd w:val="clear" w:color="000000" w:fill="333333"/>
            <w:vAlign w:val="center"/>
            <w:hideMark/>
          </w:tcPr>
          <w:p w:rsidR="00DC2C46" w:rsidRPr="00054E92" w:rsidRDefault="00DC2C46" w:rsidP="00DC2C46">
            <w:pPr>
              <w:spacing w:after="0" w:line="240" w:lineRule="auto"/>
              <w:jc w:val="center"/>
              <w:rPr>
                <w:rFonts w:eastAsia="Times New Roman" w:cstheme="minorHAnsi"/>
                <w:b/>
                <w:bCs/>
                <w:color w:val="FFFFFF"/>
                <w:sz w:val="24"/>
                <w:szCs w:val="24"/>
              </w:rPr>
            </w:pPr>
            <w:r w:rsidRPr="00054E92">
              <w:rPr>
                <w:rFonts w:eastAsia="Times New Roman" w:cstheme="minorHAnsi"/>
                <w:b/>
                <w:bCs/>
                <w:color w:val="FFFFFF"/>
                <w:sz w:val="24"/>
                <w:szCs w:val="24"/>
              </w:rPr>
              <w:t xml:space="preserve">2008-2011 </w:t>
            </w:r>
          </w:p>
        </w:tc>
      </w:tr>
      <w:tr w:rsidR="00DC2C46" w:rsidRPr="00054E92" w:rsidTr="00DB6B91">
        <w:trPr>
          <w:trHeight w:val="276"/>
        </w:trPr>
        <w:tc>
          <w:tcPr>
            <w:tcW w:w="2947" w:type="dxa"/>
            <w:tcBorders>
              <w:top w:val="nil"/>
              <w:left w:val="single" w:sz="8" w:space="0" w:color="auto"/>
              <w:bottom w:val="single" w:sz="4" w:space="0" w:color="auto"/>
              <w:right w:val="single" w:sz="8" w:space="0" w:color="auto"/>
            </w:tcBorders>
            <w:shd w:val="clear" w:color="auto" w:fill="auto"/>
            <w:vAlign w:val="bottom"/>
            <w:hideMark/>
          </w:tcPr>
          <w:p w:rsidR="00DC2C46" w:rsidRPr="00054E92" w:rsidRDefault="00DC2C46" w:rsidP="00DC2C46">
            <w:pPr>
              <w:spacing w:after="0" w:line="240" w:lineRule="auto"/>
              <w:rPr>
                <w:rFonts w:eastAsia="Times New Roman" w:cstheme="minorHAnsi"/>
                <w:b/>
                <w:bCs/>
                <w:color w:val="000000"/>
                <w:sz w:val="24"/>
                <w:szCs w:val="24"/>
              </w:rPr>
            </w:pPr>
            <w:r w:rsidRPr="00054E92">
              <w:rPr>
                <w:rFonts w:eastAsia="Times New Roman" w:cstheme="minorHAnsi"/>
                <w:b/>
                <w:bCs/>
                <w:color w:val="000000"/>
                <w:sz w:val="24"/>
                <w:szCs w:val="24"/>
              </w:rPr>
              <w:t>Washington County SSS</w:t>
            </w:r>
          </w:p>
        </w:tc>
        <w:tc>
          <w:tcPr>
            <w:tcW w:w="4073" w:type="dxa"/>
            <w:gridSpan w:val="3"/>
            <w:vMerge w:val="restart"/>
            <w:tcBorders>
              <w:top w:val="single" w:sz="4" w:space="0" w:color="auto"/>
              <w:left w:val="single" w:sz="8" w:space="0" w:color="auto"/>
              <w:bottom w:val="single" w:sz="12" w:space="0" w:color="808080"/>
              <w:right w:val="single" w:sz="8" w:space="0" w:color="000000"/>
            </w:tcBorders>
            <w:shd w:val="clear" w:color="auto" w:fill="auto"/>
            <w:noWrap/>
            <w:vAlign w:val="bottom"/>
            <w:hideMark/>
          </w:tcPr>
          <w:p w:rsidR="00DC2C46" w:rsidRPr="00054E92" w:rsidRDefault="00DC2C46" w:rsidP="00DC2C46">
            <w:pPr>
              <w:spacing w:after="0" w:line="240" w:lineRule="auto"/>
              <w:rPr>
                <w:rFonts w:eastAsia="Times New Roman" w:cstheme="minorHAnsi"/>
                <w:b/>
                <w:bCs/>
                <w:color w:val="000000"/>
                <w:sz w:val="24"/>
                <w:szCs w:val="24"/>
              </w:rPr>
            </w:pPr>
            <w:r w:rsidRPr="00054E92">
              <w:rPr>
                <w:rFonts w:eastAsia="Times New Roman" w:cstheme="minorHAnsi"/>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DC2C46" w:rsidRPr="00054E92" w:rsidRDefault="00DC2C46" w:rsidP="00DC2C46">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9.6%</w:t>
            </w:r>
          </w:p>
        </w:tc>
        <w:tc>
          <w:tcPr>
            <w:tcW w:w="1057" w:type="dxa"/>
            <w:tcBorders>
              <w:top w:val="nil"/>
              <w:left w:val="nil"/>
              <w:bottom w:val="single" w:sz="4" w:space="0" w:color="auto"/>
              <w:right w:val="single" w:sz="4" w:space="0" w:color="auto"/>
            </w:tcBorders>
            <w:shd w:val="clear" w:color="auto" w:fill="auto"/>
            <w:noWrap/>
            <w:vAlign w:val="bottom"/>
            <w:hideMark/>
          </w:tcPr>
          <w:p w:rsidR="00DC2C46" w:rsidRPr="00054E92" w:rsidRDefault="00DC2C46" w:rsidP="00DC2C46">
            <w:pPr>
              <w:spacing w:after="0" w:line="240" w:lineRule="auto"/>
              <w:jc w:val="right"/>
              <w:rPr>
                <w:rFonts w:eastAsia="Times New Roman" w:cstheme="minorHAnsi"/>
                <w:b/>
                <w:bCs/>
                <w:i/>
                <w:iCs/>
                <w:sz w:val="24"/>
                <w:szCs w:val="24"/>
              </w:rPr>
            </w:pPr>
            <w:r w:rsidRPr="00054E92">
              <w:rPr>
                <w:rFonts w:eastAsia="Times New Roman" w:cstheme="minorHAnsi"/>
                <w:b/>
                <w:bCs/>
                <w:i/>
                <w:iCs/>
                <w:sz w:val="24"/>
                <w:szCs w:val="24"/>
              </w:rPr>
              <w:t>3.2%</w:t>
            </w:r>
          </w:p>
        </w:tc>
        <w:tc>
          <w:tcPr>
            <w:tcW w:w="1844" w:type="dxa"/>
            <w:vMerge w:val="restart"/>
            <w:tcBorders>
              <w:top w:val="nil"/>
              <w:left w:val="single" w:sz="4" w:space="0" w:color="auto"/>
              <w:bottom w:val="single" w:sz="12" w:space="0" w:color="808080"/>
              <w:right w:val="single" w:sz="8" w:space="0" w:color="auto"/>
            </w:tcBorders>
            <w:shd w:val="clear" w:color="auto" w:fill="auto"/>
            <w:noWrap/>
            <w:vAlign w:val="center"/>
            <w:hideMark/>
          </w:tcPr>
          <w:p w:rsidR="00DC2C46" w:rsidRPr="00054E92" w:rsidRDefault="00DC2C46" w:rsidP="00DC2C46">
            <w:pPr>
              <w:spacing w:after="0" w:line="240" w:lineRule="auto"/>
              <w:jc w:val="center"/>
              <w:rPr>
                <w:rFonts w:eastAsia="Times New Roman" w:cstheme="minorHAnsi"/>
                <w:b/>
                <w:bCs/>
                <w:i/>
                <w:iCs/>
                <w:color w:val="000000"/>
                <w:sz w:val="24"/>
                <w:szCs w:val="24"/>
              </w:rPr>
            </w:pPr>
            <w:r w:rsidRPr="00054E92">
              <w:rPr>
                <w:rFonts w:eastAsia="Times New Roman" w:cstheme="minorHAnsi"/>
                <w:b/>
                <w:bCs/>
                <w:i/>
                <w:iCs/>
                <w:color w:val="000000"/>
                <w:sz w:val="24"/>
                <w:szCs w:val="24"/>
              </w:rPr>
              <w:t>3.5%</w:t>
            </w:r>
          </w:p>
        </w:tc>
      </w:tr>
      <w:tr w:rsidR="00DC2C46" w:rsidRPr="00054E92" w:rsidTr="00DB6B91">
        <w:trPr>
          <w:trHeight w:val="276"/>
        </w:trPr>
        <w:tc>
          <w:tcPr>
            <w:tcW w:w="2947" w:type="dxa"/>
            <w:tcBorders>
              <w:top w:val="nil"/>
              <w:left w:val="single" w:sz="8" w:space="0" w:color="auto"/>
              <w:bottom w:val="single" w:sz="12" w:space="0" w:color="808080"/>
              <w:right w:val="single" w:sz="8" w:space="0" w:color="auto"/>
            </w:tcBorders>
            <w:shd w:val="clear" w:color="auto" w:fill="auto"/>
            <w:vAlign w:val="bottom"/>
            <w:hideMark/>
          </w:tcPr>
          <w:p w:rsidR="00DC2C46" w:rsidRPr="00054E92" w:rsidRDefault="00DC2C46" w:rsidP="00DC2C46">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Washington County CPI</w:t>
            </w:r>
          </w:p>
        </w:tc>
        <w:tc>
          <w:tcPr>
            <w:tcW w:w="4073" w:type="dxa"/>
            <w:gridSpan w:val="3"/>
            <w:vMerge/>
            <w:tcBorders>
              <w:top w:val="nil"/>
              <w:left w:val="single" w:sz="8" w:space="0" w:color="auto"/>
              <w:bottom w:val="single" w:sz="12" w:space="0" w:color="808080"/>
              <w:right w:val="single" w:sz="8" w:space="0" w:color="auto"/>
            </w:tcBorders>
            <w:vAlign w:val="center"/>
            <w:hideMark/>
          </w:tcPr>
          <w:p w:rsidR="00DC2C46" w:rsidRPr="00054E92" w:rsidRDefault="00DC2C46" w:rsidP="00DC2C46">
            <w:pPr>
              <w:spacing w:after="0" w:line="240" w:lineRule="auto"/>
              <w:rPr>
                <w:rFonts w:eastAsia="Times New Roman" w:cstheme="minorHAnsi"/>
                <w:b/>
                <w:bCs/>
                <w:color w:val="000000"/>
                <w:sz w:val="24"/>
                <w:szCs w:val="24"/>
              </w:rPr>
            </w:pPr>
          </w:p>
        </w:tc>
        <w:tc>
          <w:tcPr>
            <w:tcW w:w="1134" w:type="dxa"/>
            <w:tcBorders>
              <w:top w:val="nil"/>
              <w:left w:val="nil"/>
              <w:bottom w:val="single" w:sz="12" w:space="0" w:color="808080"/>
              <w:right w:val="single" w:sz="4" w:space="0" w:color="auto"/>
            </w:tcBorders>
            <w:shd w:val="clear" w:color="auto" w:fill="auto"/>
            <w:noWrap/>
            <w:vAlign w:val="bottom"/>
            <w:hideMark/>
          </w:tcPr>
          <w:p w:rsidR="00DC2C46" w:rsidRPr="00054E92" w:rsidRDefault="00DC2C46" w:rsidP="00DC2C46">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-0.8%</w:t>
            </w:r>
          </w:p>
        </w:tc>
        <w:tc>
          <w:tcPr>
            <w:tcW w:w="1057" w:type="dxa"/>
            <w:tcBorders>
              <w:top w:val="nil"/>
              <w:left w:val="nil"/>
              <w:bottom w:val="single" w:sz="12" w:space="0" w:color="808080"/>
              <w:right w:val="single" w:sz="4" w:space="0" w:color="auto"/>
            </w:tcBorders>
            <w:shd w:val="clear" w:color="auto" w:fill="auto"/>
            <w:noWrap/>
            <w:vAlign w:val="bottom"/>
            <w:hideMark/>
          </w:tcPr>
          <w:p w:rsidR="00DC2C46" w:rsidRPr="00054E92" w:rsidRDefault="00DC2C46" w:rsidP="00DC2C46">
            <w:pPr>
              <w:spacing w:after="0" w:line="240" w:lineRule="auto"/>
              <w:jc w:val="right"/>
              <w:rPr>
                <w:rFonts w:eastAsia="Times New Roman" w:cstheme="minorHAnsi"/>
                <w:i/>
                <w:iCs/>
                <w:sz w:val="24"/>
                <w:szCs w:val="24"/>
              </w:rPr>
            </w:pPr>
            <w:r w:rsidRPr="00054E92">
              <w:rPr>
                <w:rFonts w:eastAsia="Times New Roman" w:cstheme="minorHAnsi"/>
                <w:i/>
                <w:iCs/>
                <w:sz w:val="24"/>
                <w:szCs w:val="24"/>
              </w:rPr>
              <w:t>-0.3%</w:t>
            </w:r>
          </w:p>
        </w:tc>
        <w:tc>
          <w:tcPr>
            <w:tcW w:w="1844" w:type="dxa"/>
            <w:vMerge/>
            <w:tcBorders>
              <w:top w:val="nil"/>
              <w:left w:val="single" w:sz="4" w:space="0" w:color="auto"/>
              <w:bottom w:val="single" w:sz="12" w:space="0" w:color="808080"/>
              <w:right w:val="single" w:sz="8" w:space="0" w:color="auto"/>
            </w:tcBorders>
            <w:vAlign w:val="center"/>
            <w:hideMark/>
          </w:tcPr>
          <w:p w:rsidR="00DC2C46" w:rsidRPr="00054E92" w:rsidRDefault="00DC2C46" w:rsidP="00DC2C46">
            <w:pPr>
              <w:spacing w:after="0" w:line="240" w:lineRule="auto"/>
              <w:rPr>
                <w:rFonts w:eastAsia="Times New Roman" w:cstheme="minorHAnsi"/>
                <w:b/>
                <w:bCs/>
                <w:i/>
                <w:iCs/>
                <w:color w:val="000000"/>
                <w:sz w:val="24"/>
                <w:szCs w:val="24"/>
              </w:rPr>
            </w:pPr>
          </w:p>
        </w:tc>
      </w:tr>
      <w:tr w:rsidR="00DC2C46" w:rsidRPr="00054E92" w:rsidTr="00DB6B91">
        <w:trPr>
          <w:trHeight w:val="276"/>
        </w:trPr>
        <w:tc>
          <w:tcPr>
            <w:tcW w:w="2947" w:type="dxa"/>
            <w:tcBorders>
              <w:top w:val="nil"/>
              <w:left w:val="single" w:sz="8" w:space="0" w:color="auto"/>
              <w:bottom w:val="single" w:sz="4" w:space="0" w:color="auto"/>
              <w:right w:val="single" w:sz="8" w:space="0" w:color="auto"/>
            </w:tcBorders>
            <w:shd w:val="clear" w:color="9999FF" w:fill="C0C0C0"/>
            <w:vAlign w:val="bottom"/>
            <w:hideMark/>
          </w:tcPr>
          <w:p w:rsidR="00DC2C46" w:rsidRPr="00054E92" w:rsidRDefault="00DC2C46" w:rsidP="00DC2C46">
            <w:pPr>
              <w:spacing w:after="0" w:line="240" w:lineRule="auto"/>
              <w:rPr>
                <w:rFonts w:eastAsia="Times New Roman" w:cstheme="minorHAnsi"/>
                <w:b/>
                <w:bCs/>
                <w:color w:val="000000"/>
                <w:sz w:val="24"/>
                <w:szCs w:val="24"/>
              </w:rPr>
            </w:pPr>
            <w:r w:rsidRPr="00054E92">
              <w:rPr>
                <w:rFonts w:eastAsia="Times New Roman" w:cstheme="minorHAnsi"/>
                <w:b/>
                <w:bCs/>
                <w:color w:val="000000"/>
                <w:sz w:val="24"/>
                <w:szCs w:val="24"/>
              </w:rPr>
              <w:t>Deschutes County SSS</w:t>
            </w:r>
          </w:p>
        </w:tc>
        <w:tc>
          <w:tcPr>
            <w:tcW w:w="4073" w:type="dxa"/>
            <w:gridSpan w:val="3"/>
            <w:vMerge w:val="restart"/>
            <w:tcBorders>
              <w:top w:val="single" w:sz="12" w:space="0" w:color="808080"/>
              <w:left w:val="single" w:sz="8" w:space="0" w:color="auto"/>
              <w:bottom w:val="single" w:sz="4" w:space="0" w:color="000000"/>
              <w:right w:val="single" w:sz="8" w:space="0" w:color="000000"/>
            </w:tcBorders>
            <w:shd w:val="clear" w:color="9999FF" w:fill="C0C0C0"/>
            <w:noWrap/>
            <w:vAlign w:val="bottom"/>
            <w:hideMark/>
          </w:tcPr>
          <w:p w:rsidR="00DC2C46" w:rsidRPr="00054E92" w:rsidRDefault="00DC2C46" w:rsidP="00DC2C46">
            <w:pPr>
              <w:spacing w:after="0" w:line="240" w:lineRule="auto"/>
              <w:rPr>
                <w:rFonts w:eastAsia="Times New Roman" w:cstheme="minorHAnsi"/>
                <w:b/>
                <w:bCs/>
                <w:color w:val="000000"/>
                <w:sz w:val="24"/>
                <w:szCs w:val="24"/>
              </w:rPr>
            </w:pPr>
            <w:r w:rsidRPr="00054E92">
              <w:rPr>
                <w:rFonts w:eastAsia="Times New Roman" w:cstheme="minorHAnsi"/>
                <w:b/>
                <w:bCs/>
                <w:color w:val="000000"/>
                <w:sz w:val="24"/>
                <w:szCs w:val="24"/>
              </w:rPr>
              <w:t> </w:t>
            </w:r>
          </w:p>
        </w:tc>
        <w:tc>
          <w:tcPr>
            <w:tcW w:w="1134" w:type="dxa"/>
            <w:tcBorders>
              <w:top w:val="nil"/>
              <w:left w:val="nil"/>
              <w:bottom w:val="single" w:sz="4" w:space="0" w:color="auto"/>
              <w:right w:val="single" w:sz="4" w:space="0" w:color="auto"/>
            </w:tcBorders>
            <w:shd w:val="clear" w:color="9999FF" w:fill="C0C0C0"/>
            <w:noWrap/>
            <w:vAlign w:val="bottom"/>
            <w:hideMark/>
          </w:tcPr>
          <w:p w:rsidR="00DC2C46" w:rsidRPr="00054E92" w:rsidRDefault="00DC2C46" w:rsidP="00DC2C46">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4.2%</w:t>
            </w:r>
          </w:p>
        </w:tc>
        <w:tc>
          <w:tcPr>
            <w:tcW w:w="1057" w:type="dxa"/>
            <w:tcBorders>
              <w:top w:val="nil"/>
              <w:left w:val="nil"/>
              <w:bottom w:val="single" w:sz="4" w:space="0" w:color="auto"/>
              <w:right w:val="single" w:sz="4" w:space="0" w:color="auto"/>
            </w:tcBorders>
            <w:shd w:val="clear" w:color="000000" w:fill="C0C0C0"/>
            <w:noWrap/>
            <w:vAlign w:val="bottom"/>
            <w:hideMark/>
          </w:tcPr>
          <w:p w:rsidR="00DC2C46" w:rsidRPr="00054E92" w:rsidRDefault="00DC2C46" w:rsidP="00DC2C46">
            <w:pPr>
              <w:spacing w:after="0" w:line="240" w:lineRule="auto"/>
              <w:jc w:val="right"/>
              <w:rPr>
                <w:rFonts w:eastAsia="Times New Roman" w:cstheme="minorHAnsi"/>
                <w:b/>
                <w:bCs/>
                <w:i/>
                <w:iCs/>
                <w:sz w:val="24"/>
                <w:szCs w:val="24"/>
              </w:rPr>
            </w:pPr>
            <w:r w:rsidRPr="00054E92">
              <w:rPr>
                <w:rFonts w:eastAsia="Times New Roman" w:cstheme="minorHAnsi"/>
                <w:b/>
                <w:bCs/>
                <w:i/>
                <w:iCs/>
                <w:sz w:val="24"/>
                <w:szCs w:val="24"/>
              </w:rPr>
              <w:t>1.4%</w:t>
            </w:r>
          </w:p>
        </w:tc>
        <w:tc>
          <w:tcPr>
            <w:tcW w:w="1844" w:type="dxa"/>
            <w:vMerge w:val="restart"/>
            <w:tcBorders>
              <w:top w:val="nil"/>
              <w:left w:val="single" w:sz="4" w:space="0" w:color="auto"/>
              <w:bottom w:val="single" w:sz="4" w:space="0" w:color="auto"/>
              <w:right w:val="single" w:sz="8" w:space="0" w:color="auto"/>
            </w:tcBorders>
            <w:shd w:val="clear" w:color="9999FF" w:fill="C0C0C0"/>
            <w:noWrap/>
            <w:vAlign w:val="center"/>
            <w:hideMark/>
          </w:tcPr>
          <w:p w:rsidR="00DC2C46" w:rsidRPr="00054E92" w:rsidRDefault="00DC2C46" w:rsidP="00DC2C46">
            <w:pPr>
              <w:spacing w:after="0" w:line="240" w:lineRule="auto"/>
              <w:jc w:val="center"/>
              <w:rPr>
                <w:rFonts w:eastAsia="Times New Roman" w:cstheme="minorHAnsi"/>
                <w:b/>
                <w:bCs/>
                <w:i/>
                <w:iCs/>
                <w:color w:val="000000"/>
                <w:sz w:val="24"/>
                <w:szCs w:val="24"/>
              </w:rPr>
            </w:pPr>
            <w:r w:rsidRPr="00054E92">
              <w:rPr>
                <w:rFonts w:eastAsia="Times New Roman" w:cstheme="minorHAnsi"/>
                <w:b/>
                <w:bCs/>
                <w:i/>
                <w:iCs/>
                <w:color w:val="000000"/>
                <w:sz w:val="24"/>
                <w:szCs w:val="24"/>
              </w:rPr>
              <w:t>1.7%</w:t>
            </w:r>
          </w:p>
        </w:tc>
      </w:tr>
      <w:tr w:rsidR="00DC2C46" w:rsidRPr="00054E92" w:rsidTr="00DB6B91">
        <w:trPr>
          <w:trHeight w:val="276"/>
        </w:trPr>
        <w:tc>
          <w:tcPr>
            <w:tcW w:w="2947" w:type="dxa"/>
            <w:tcBorders>
              <w:top w:val="nil"/>
              <w:left w:val="single" w:sz="8" w:space="0" w:color="auto"/>
              <w:bottom w:val="single" w:sz="4" w:space="0" w:color="auto"/>
              <w:right w:val="single" w:sz="8" w:space="0" w:color="auto"/>
            </w:tcBorders>
            <w:shd w:val="clear" w:color="9999FF" w:fill="C0C0C0"/>
            <w:vAlign w:val="bottom"/>
            <w:hideMark/>
          </w:tcPr>
          <w:p w:rsidR="00DC2C46" w:rsidRPr="00054E92" w:rsidRDefault="00DC2C46" w:rsidP="00DC2C46">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Deschutes County CPI</w:t>
            </w:r>
          </w:p>
        </w:tc>
        <w:tc>
          <w:tcPr>
            <w:tcW w:w="4073" w:type="dxa"/>
            <w:gridSpan w:val="3"/>
            <w:vMerge/>
            <w:tcBorders>
              <w:top w:val="nil"/>
              <w:left w:val="single" w:sz="8" w:space="0" w:color="auto"/>
              <w:bottom w:val="single" w:sz="4" w:space="0" w:color="auto"/>
              <w:right w:val="single" w:sz="8" w:space="0" w:color="auto"/>
            </w:tcBorders>
            <w:vAlign w:val="center"/>
            <w:hideMark/>
          </w:tcPr>
          <w:p w:rsidR="00DC2C46" w:rsidRPr="00054E92" w:rsidRDefault="00DC2C46" w:rsidP="00DC2C46">
            <w:pPr>
              <w:spacing w:after="0" w:line="240" w:lineRule="auto"/>
              <w:rPr>
                <w:rFonts w:eastAsia="Times New Roman" w:cstheme="minorHAnsi"/>
                <w:b/>
                <w:bCs/>
                <w:color w:val="000000"/>
                <w:sz w:val="24"/>
                <w:szCs w:val="24"/>
              </w:rPr>
            </w:pPr>
          </w:p>
        </w:tc>
        <w:tc>
          <w:tcPr>
            <w:tcW w:w="1134" w:type="dxa"/>
            <w:tcBorders>
              <w:top w:val="nil"/>
              <w:left w:val="nil"/>
              <w:bottom w:val="single" w:sz="4" w:space="0" w:color="auto"/>
              <w:right w:val="single" w:sz="4" w:space="0" w:color="auto"/>
            </w:tcBorders>
            <w:shd w:val="clear" w:color="9999FF" w:fill="C0C0C0"/>
            <w:noWrap/>
            <w:vAlign w:val="bottom"/>
            <w:hideMark/>
          </w:tcPr>
          <w:p w:rsidR="00DC2C46" w:rsidRPr="00054E92" w:rsidRDefault="00DC2C46" w:rsidP="00DC2C46">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-0.8%</w:t>
            </w:r>
          </w:p>
        </w:tc>
        <w:tc>
          <w:tcPr>
            <w:tcW w:w="1057" w:type="dxa"/>
            <w:tcBorders>
              <w:top w:val="nil"/>
              <w:left w:val="nil"/>
              <w:bottom w:val="single" w:sz="4" w:space="0" w:color="auto"/>
              <w:right w:val="single" w:sz="4" w:space="0" w:color="auto"/>
            </w:tcBorders>
            <w:shd w:val="clear" w:color="000000" w:fill="C0C0C0"/>
            <w:noWrap/>
            <w:vAlign w:val="bottom"/>
            <w:hideMark/>
          </w:tcPr>
          <w:p w:rsidR="00DC2C46" w:rsidRPr="00054E92" w:rsidRDefault="00DC2C46" w:rsidP="00DC2C46">
            <w:pPr>
              <w:spacing w:after="0" w:line="240" w:lineRule="auto"/>
              <w:jc w:val="right"/>
              <w:rPr>
                <w:rFonts w:eastAsia="Times New Roman" w:cstheme="minorHAnsi"/>
                <w:i/>
                <w:iCs/>
                <w:sz w:val="24"/>
                <w:szCs w:val="24"/>
              </w:rPr>
            </w:pPr>
            <w:r w:rsidRPr="00054E92">
              <w:rPr>
                <w:rFonts w:eastAsia="Times New Roman" w:cstheme="minorHAnsi"/>
                <w:i/>
                <w:iCs/>
                <w:sz w:val="24"/>
                <w:szCs w:val="24"/>
              </w:rPr>
              <w:t>-0.3%</w:t>
            </w:r>
          </w:p>
        </w:tc>
        <w:tc>
          <w:tcPr>
            <w:tcW w:w="1844" w:type="dxa"/>
            <w:vMerge/>
            <w:tcBorders>
              <w:top w:val="nil"/>
              <w:left w:val="single" w:sz="4" w:space="0" w:color="auto"/>
              <w:bottom w:val="single" w:sz="4" w:space="0" w:color="auto"/>
              <w:right w:val="single" w:sz="8" w:space="0" w:color="auto"/>
            </w:tcBorders>
            <w:vAlign w:val="center"/>
            <w:hideMark/>
          </w:tcPr>
          <w:p w:rsidR="00DC2C46" w:rsidRPr="00054E92" w:rsidRDefault="00DC2C46" w:rsidP="00DC2C46">
            <w:pPr>
              <w:spacing w:after="0" w:line="240" w:lineRule="auto"/>
              <w:rPr>
                <w:rFonts w:eastAsia="Times New Roman" w:cstheme="minorHAnsi"/>
                <w:b/>
                <w:bCs/>
                <w:i/>
                <w:iCs/>
                <w:color w:val="000000"/>
                <w:sz w:val="24"/>
                <w:szCs w:val="24"/>
              </w:rPr>
            </w:pPr>
          </w:p>
        </w:tc>
      </w:tr>
      <w:tr w:rsidR="00DC2C46" w:rsidRPr="00054E92" w:rsidTr="00DB6B91">
        <w:trPr>
          <w:trHeight w:val="276"/>
        </w:trPr>
        <w:tc>
          <w:tcPr>
            <w:tcW w:w="2947" w:type="dxa"/>
            <w:tcBorders>
              <w:top w:val="nil"/>
              <w:left w:val="single" w:sz="8" w:space="0" w:color="auto"/>
              <w:bottom w:val="single" w:sz="4" w:space="0" w:color="auto"/>
              <w:right w:val="single" w:sz="8" w:space="0" w:color="auto"/>
            </w:tcBorders>
            <w:shd w:val="clear" w:color="000000" w:fill="333333"/>
            <w:vAlign w:val="bottom"/>
            <w:hideMark/>
          </w:tcPr>
          <w:p w:rsidR="00DC2C46" w:rsidRPr="00054E92" w:rsidRDefault="00DC2C46" w:rsidP="00DC2C46">
            <w:pPr>
              <w:spacing w:after="0" w:line="240" w:lineRule="auto"/>
              <w:rPr>
                <w:rFonts w:eastAsia="Times New Roman" w:cstheme="minorHAnsi"/>
                <w:b/>
                <w:bCs/>
                <w:color w:val="FFFFFF"/>
                <w:sz w:val="24"/>
                <w:szCs w:val="24"/>
              </w:rPr>
            </w:pPr>
            <w:r w:rsidRPr="00054E92">
              <w:rPr>
                <w:rFonts w:eastAsia="Times New Roman" w:cstheme="minorHAnsi"/>
                <w:b/>
                <w:bCs/>
                <w:color w:val="FFFFFF"/>
                <w:sz w:val="24"/>
                <w:szCs w:val="24"/>
              </w:rPr>
              <w:t>MISSISSIPPI</w:t>
            </w:r>
          </w:p>
        </w:tc>
        <w:tc>
          <w:tcPr>
            <w:tcW w:w="4073" w:type="dxa"/>
            <w:gridSpan w:val="3"/>
            <w:tcBorders>
              <w:top w:val="single" w:sz="4" w:space="0" w:color="auto"/>
              <w:left w:val="nil"/>
              <w:bottom w:val="single" w:sz="4" w:space="0" w:color="auto"/>
              <w:right w:val="single" w:sz="8" w:space="0" w:color="000000"/>
            </w:tcBorders>
            <w:shd w:val="clear" w:color="000000" w:fill="333333"/>
            <w:vAlign w:val="center"/>
            <w:hideMark/>
          </w:tcPr>
          <w:p w:rsidR="00DC2C46" w:rsidRPr="00054E92" w:rsidRDefault="00DC2C46" w:rsidP="00DC2C46">
            <w:pPr>
              <w:spacing w:after="0" w:line="240" w:lineRule="auto"/>
              <w:jc w:val="center"/>
              <w:rPr>
                <w:rFonts w:eastAsia="Times New Roman" w:cstheme="minorHAnsi"/>
                <w:b/>
                <w:bCs/>
                <w:color w:val="FFFFFF"/>
                <w:sz w:val="24"/>
                <w:szCs w:val="24"/>
              </w:rPr>
            </w:pPr>
            <w:r w:rsidRPr="00054E92">
              <w:rPr>
                <w:rFonts w:eastAsia="Times New Roman" w:cstheme="minorHAnsi"/>
                <w:b/>
                <w:bCs/>
                <w:color w:val="FFFFFF"/>
                <w:sz w:val="24"/>
                <w:szCs w:val="24"/>
              </w:rPr>
              <w:t> </w:t>
            </w:r>
          </w:p>
        </w:tc>
        <w:tc>
          <w:tcPr>
            <w:tcW w:w="4035" w:type="dxa"/>
            <w:gridSpan w:val="3"/>
            <w:tcBorders>
              <w:top w:val="single" w:sz="4" w:space="0" w:color="auto"/>
              <w:left w:val="nil"/>
              <w:bottom w:val="single" w:sz="4" w:space="0" w:color="auto"/>
              <w:right w:val="single" w:sz="8" w:space="0" w:color="000000"/>
            </w:tcBorders>
            <w:shd w:val="clear" w:color="000000" w:fill="333333"/>
            <w:vAlign w:val="center"/>
            <w:hideMark/>
          </w:tcPr>
          <w:p w:rsidR="00DC2C46" w:rsidRPr="00054E92" w:rsidRDefault="00DC2C46" w:rsidP="00DC2C46">
            <w:pPr>
              <w:spacing w:after="0" w:line="240" w:lineRule="auto"/>
              <w:jc w:val="center"/>
              <w:rPr>
                <w:rFonts w:eastAsia="Times New Roman" w:cstheme="minorHAnsi"/>
                <w:b/>
                <w:bCs/>
                <w:color w:val="FFFFFF"/>
                <w:sz w:val="24"/>
                <w:szCs w:val="24"/>
              </w:rPr>
            </w:pPr>
            <w:r w:rsidRPr="00054E92">
              <w:rPr>
                <w:rFonts w:eastAsia="Times New Roman" w:cstheme="minorHAnsi"/>
                <w:b/>
                <w:bCs/>
                <w:color w:val="FFFFFF"/>
                <w:sz w:val="24"/>
                <w:szCs w:val="24"/>
              </w:rPr>
              <w:t xml:space="preserve">2003-2009 </w:t>
            </w:r>
          </w:p>
        </w:tc>
      </w:tr>
      <w:tr w:rsidR="00DC2C46" w:rsidRPr="00054E92" w:rsidTr="00DB6B91">
        <w:trPr>
          <w:trHeight w:val="276"/>
        </w:trPr>
        <w:tc>
          <w:tcPr>
            <w:tcW w:w="2947" w:type="dxa"/>
            <w:tcBorders>
              <w:top w:val="nil"/>
              <w:left w:val="single" w:sz="8" w:space="0" w:color="auto"/>
              <w:bottom w:val="single" w:sz="4" w:space="0" w:color="auto"/>
              <w:right w:val="single" w:sz="8" w:space="0" w:color="auto"/>
            </w:tcBorders>
            <w:shd w:val="clear" w:color="auto" w:fill="auto"/>
            <w:vAlign w:val="bottom"/>
            <w:hideMark/>
          </w:tcPr>
          <w:p w:rsidR="00DC2C46" w:rsidRPr="00054E92" w:rsidRDefault="00DC2C46" w:rsidP="00DC2C46">
            <w:pPr>
              <w:spacing w:after="0" w:line="240" w:lineRule="auto"/>
              <w:rPr>
                <w:rFonts w:eastAsia="Times New Roman" w:cstheme="minorHAnsi"/>
                <w:b/>
                <w:bCs/>
                <w:color w:val="000000"/>
                <w:sz w:val="24"/>
                <w:szCs w:val="24"/>
              </w:rPr>
            </w:pPr>
            <w:r w:rsidRPr="00054E92">
              <w:rPr>
                <w:rFonts w:eastAsia="Times New Roman" w:cstheme="minorHAnsi"/>
                <w:b/>
                <w:bCs/>
                <w:color w:val="000000"/>
                <w:sz w:val="24"/>
                <w:szCs w:val="24"/>
              </w:rPr>
              <w:t>Forrest County SSS</w:t>
            </w:r>
          </w:p>
        </w:tc>
        <w:tc>
          <w:tcPr>
            <w:tcW w:w="4073" w:type="dxa"/>
            <w:gridSpan w:val="3"/>
            <w:vMerge w:val="restart"/>
            <w:tcBorders>
              <w:top w:val="single" w:sz="4" w:space="0" w:color="auto"/>
              <w:left w:val="single" w:sz="8" w:space="0" w:color="auto"/>
              <w:bottom w:val="single" w:sz="12" w:space="0" w:color="808080"/>
              <w:right w:val="single" w:sz="8" w:space="0" w:color="000000"/>
            </w:tcBorders>
            <w:shd w:val="clear" w:color="auto" w:fill="auto"/>
            <w:noWrap/>
            <w:vAlign w:val="bottom"/>
            <w:hideMark/>
          </w:tcPr>
          <w:p w:rsidR="00DC2C46" w:rsidRPr="00054E92" w:rsidRDefault="00DC2C46" w:rsidP="00DC2C46">
            <w:pPr>
              <w:spacing w:after="0" w:line="240" w:lineRule="auto"/>
              <w:rPr>
                <w:rFonts w:eastAsia="Times New Roman" w:cstheme="minorHAnsi"/>
                <w:b/>
                <w:bCs/>
                <w:color w:val="000000"/>
                <w:sz w:val="24"/>
                <w:szCs w:val="24"/>
              </w:rPr>
            </w:pPr>
            <w:r w:rsidRPr="00054E92">
              <w:rPr>
                <w:rFonts w:eastAsia="Times New Roman" w:cstheme="minorHAnsi"/>
                <w:b/>
                <w:bCs/>
                <w:color w:val="000000"/>
                <w:sz w:val="24"/>
                <w:szCs w:val="24"/>
              </w:rPr>
              <w:t> </w:t>
            </w:r>
          </w:p>
        </w:tc>
        <w:tc>
          <w:tcPr>
            <w:tcW w:w="1134" w:type="dxa"/>
            <w:tcBorders>
              <w:top w:val="nil"/>
              <w:left w:val="nil"/>
              <w:bottom w:val="single" w:sz="4" w:space="0" w:color="auto"/>
              <w:right w:val="nil"/>
            </w:tcBorders>
            <w:shd w:val="clear" w:color="auto" w:fill="auto"/>
            <w:noWrap/>
            <w:vAlign w:val="bottom"/>
            <w:hideMark/>
          </w:tcPr>
          <w:p w:rsidR="00DC2C46" w:rsidRPr="00054E92" w:rsidRDefault="00DC2C46" w:rsidP="00DC2C46">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33.4%</w:t>
            </w:r>
          </w:p>
        </w:tc>
        <w:tc>
          <w:tcPr>
            <w:tcW w:w="1057" w:type="dxa"/>
            <w:tcBorders>
              <w:top w:val="nil"/>
              <w:left w:val="nil"/>
              <w:bottom w:val="single" w:sz="4" w:space="0" w:color="auto"/>
              <w:right w:val="nil"/>
            </w:tcBorders>
            <w:shd w:val="clear" w:color="auto" w:fill="auto"/>
            <w:noWrap/>
            <w:vAlign w:val="bottom"/>
            <w:hideMark/>
          </w:tcPr>
          <w:p w:rsidR="00DC2C46" w:rsidRPr="00054E92" w:rsidRDefault="00DC2C46" w:rsidP="00DC2C46">
            <w:pPr>
              <w:spacing w:after="0" w:line="240" w:lineRule="auto"/>
              <w:jc w:val="right"/>
              <w:rPr>
                <w:rFonts w:eastAsia="Times New Roman" w:cstheme="minorHAnsi"/>
                <w:b/>
                <w:bCs/>
                <w:i/>
                <w:iCs/>
                <w:sz w:val="24"/>
                <w:szCs w:val="24"/>
              </w:rPr>
            </w:pPr>
            <w:r w:rsidRPr="00054E92">
              <w:rPr>
                <w:rFonts w:eastAsia="Times New Roman" w:cstheme="minorHAnsi"/>
                <w:b/>
                <w:bCs/>
                <w:i/>
                <w:iCs/>
                <w:sz w:val="24"/>
                <w:szCs w:val="24"/>
              </w:rPr>
              <w:t>5.6%</w:t>
            </w:r>
          </w:p>
        </w:tc>
        <w:tc>
          <w:tcPr>
            <w:tcW w:w="1844" w:type="dxa"/>
            <w:vMerge w:val="restart"/>
            <w:tcBorders>
              <w:top w:val="nil"/>
              <w:left w:val="nil"/>
              <w:bottom w:val="single" w:sz="12" w:space="0" w:color="808080"/>
              <w:right w:val="single" w:sz="8" w:space="0" w:color="auto"/>
            </w:tcBorders>
            <w:shd w:val="clear" w:color="auto" w:fill="auto"/>
            <w:noWrap/>
            <w:vAlign w:val="center"/>
            <w:hideMark/>
          </w:tcPr>
          <w:p w:rsidR="00DC2C46" w:rsidRPr="00054E92" w:rsidRDefault="00DC2C46" w:rsidP="00DC2C46">
            <w:pPr>
              <w:spacing w:after="0" w:line="240" w:lineRule="auto"/>
              <w:jc w:val="center"/>
              <w:rPr>
                <w:rFonts w:eastAsia="Times New Roman" w:cstheme="minorHAnsi"/>
                <w:b/>
                <w:bCs/>
                <w:i/>
                <w:iCs/>
                <w:color w:val="000000"/>
                <w:sz w:val="24"/>
                <w:szCs w:val="24"/>
              </w:rPr>
            </w:pPr>
            <w:r w:rsidRPr="00054E92">
              <w:rPr>
                <w:rFonts w:eastAsia="Times New Roman" w:cstheme="minorHAnsi"/>
                <w:b/>
                <w:bCs/>
                <w:i/>
                <w:iCs/>
                <w:color w:val="000000"/>
                <w:sz w:val="24"/>
                <w:szCs w:val="24"/>
              </w:rPr>
              <w:t>2.8%</w:t>
            </w:r>
          </w:p>
        </w:tc>
      </w:tr>
      <w:tr w:rsidR="00DC2C46" w:rsidRPr="00054E92" w:rsidTr="00DB6B91">
        <w:trPr>
          <w:trHeight w:val="276"/>
        </w:trPr>
        <w:tc>
          <w:tcPr>
            <w:tcW w:w="2947" w:type="dxa"/>
            <w:tcBorders>
              <w:top w:val="nil"/>
              <w:left w:val="single" w:sz="8" w:space="0" w:color="auto"/>
              <w:bottom w:val="single" w:sz="12" w:space="0" w:color="808080"/>
              <w:right w:val="single" w:sz="8" w:space="0" w:color="auto"/>
            </w:tcBorders>
            <w:shd w:val="clear" w:color="auto" w:fill="auto"/>
            <w:vAlign w:val="bottom"/>
            <w:hideMark/>
          </w:tcPr>
          <w:p w:rsidR="00DC2C46" w:rsidRPr="00054E92" w:rsidRDefault="00DC2C46" w:rsidP="00DC2C46">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Forrest County CPI</w:t>
            </w:r>
          </w:p>
        </w:tc>
        <w:tc>
          <w:tcPr>
            <w:tcW w:w="4073" w:type="dxa"/>
            <w:gridSpan w:val="3"/>
            <w:vMerge/>
            <w:tcBorders>
              <w:top w:val="nil"/>
              <w:left w:val="single" w:sz="8" w:space="0" w:color="auto"/>
              <w:bottom w:val="single" w:sz="12" w:space="0" w:color="808080"/>
              <w:right w:val="single" w:sz="8" w:space="0" w:color="auto"/>
            </w:tcBorders>
            <w:vAlign w:val="center"/>
            <w:hideMark/>
          </w:tcPr>
          <w:p w:rsidR="00DC2C46" w:rsidRPr="00054E92" w:rsidRDefault="00DC2C46" w:rsidP="00DC2C46">
            <w:pPr>
              <w:spacing w:after="0" w:line="240" w:lineRule="auto"/>
              <w:rPr>
                <w:rFonts w:eastAsia="Times New Roman" w:cstheme="minorHAnsi"/>
                <w:b/>
                <w:bCs/>
                <w:color w:val="000000"/>
                <w:sz w:val="24"/>
                <w:szCs w:val="24"/>
              </w:rPr>
            </w:pPr>
          </w:p>
        </w:tc>
        <w:tc>
          <w:tcPr>
            <w:tcW w:w="1134" w:type="dxa"/>
            <w:tcBorders>
              <w:top w:val="nil"/>
              <w:left w:val="nil"/>
              <w:bottom w:val="single" w:sz="12" w:space="0" w:color="808080"/>
              <w:right w:val="nil"/>
            </w:tcBorders>
            <w:shd w:val="clear" w:color="auto" w:fill="auto"/>
            <w:noWrap/>
            <w:vAlign w:val="bottom"/>
            <w:hideMark/>
          </w:tcPr>
          <w:p w:rsidR="00DC2C46" w:rsidRPr="00054E92" w:rsidRDefault="00DC2C46" w:rsidP="00DC2C46">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16.4%</w:t>
            </w:r>
          </w:p>
        </w:tc>
        <w:tc>
          <w:tcPr>
            <w:tcW w:w="1057" w:type="dxa"/>
            <w:tcBorders>
              <w:top w:val="nil"/>
              <w:left w:val="nil"/>
              <w:bottom w:val="single" w:sz="12" w:space="0" w:color="808080"/>
              <w:right w:val="nil"/>
            </w:tcBorders>
            <w:shd w:val="clear" w:color="auto" w:fill="auto"/>
            <w:noWrap/>
            <w:vAlign w:val="bottom"/>
            <w:hideMark/>
          </w:tcPr>
          <w:p w:rsidR="00DC2C46" w:rsidRPr="00054E92" w:rsidRDefault="00DC2C46" w:rsidP="00DC2C46">
            <w:pPr>
              <w:spacing w:after="0" w:line="240" w:lineRule="auto"/>
              <w:jc w:val="right"/>
              <w:rPr>
                <w:rFonts w:eastAsia="Times New Roman" w:cstheme="minorHAnsi"/>
                <w:i/>
                <w:iCs/>
                <w:sz w:val="24"/>
                <w:szCs w:val="24"/>
              </w:rPr>
            </w:pPr>
            <w:r w:rsidRPr="00054E92">
              <w:rPr>
                <w:rFonts w:eastAsia="Times New Roman" w:cstheme="minorHAnsi"/>
                <w:i/>
                <w:iCs/>
                <w:sz w:val="24"/>
                <w:szCs w:val="24"/>
              </w:rPr>
              <w:t>2.7%</w:t>
            </w:r>
          </w:p>
        </w:tc>
        <w:tc>
          <w:tcPr>
            <w:tcW w:w="1844" w:type="dxa"/>
            <w:vMerge/>
            <w:tcBorders>
              <w:top w:val="nil"/>
              <w:left w:val="nil"/>
              <w:bottom w:val="single" w:sz="12" w:space="0" w:color="808080"/>
              <w:right w:val="single" w:sz="8" w:space="0" w:color="auto"/>
            </w:tcBorders>
            <w:vAlign w:val="center"/>
            <w:hideMark/>
          </w:tcPr>
          <w:p w:rsidR="00DC2C46" w:rsidRPr="00054E92" w:rsidRDefault="00DC2C46" w:rsidP="00DC2C46">
            <w:pPr>
              <w:spacing w:after="0" w:line="240" w:lineRule="auto"/>
              <w:rPr>
                <w:rFonts w:eastAsia="Times New Roman" w:cstheme="minorHAnsi"/>
                <w:b/>
                <w:bCs/>
                <w:i/>
                <w:iCs/>
                <w:color w:val="000000"/>
                <w:sz w:val="24"/>
                <w:szCs w:val="24"/>
              </w:rPr>
            </w:pPr>
          </w:p>
        </w:tc>
      </w:tr>
      <w:tr w:rsidR="00DC2C46" w:rsidRPr="00054E92" w:rsidTr="00DB6B91">
        <w:trPr>
          <w:trHeight w:val="276"/>
        </w:trPr>
        <w:tc>
          <w:tcPr>
            <w:tcW w:w="2947" w:type="dxa"/>
            <w:tcBorders>
              <w:top w:val="nil"/>
              <w:left w:val="single" w:sz="8" w:space="0" w:color="auto"/>
              <w:bottom w:val="single" w:sz="4" w:space="0" w:color="auto"/>
              <w:right w:val="single" w:sz="8" w:space="0" w:color="auto"/>
            </w:tcBorders>
            <w:shd w:val="clear" w:color="9999FF" w:fill="C0C0C0"/>
            <w:vAlign w:val="bottom"/>
            <w:hideMark/>
          </w:tcPr>
          <w:p w:rsidR="00DC2C46" w:rsidRPr="00054E92" w:rsidRDefault="00DC2C46" w:rsidP="00DC2C46">
            <w:pPr>
              <w:spacing w:after="0" w:line="240" w:lineRule="auto"/>
              <w:rPr>
                <w:rFonts w:eastAsia="Times New Roman" w:cstheme="minorHAnsi"/>
                <w:b/>
                <w:bCs/>
                <w:color w:val="000000"/>
                <w:sz w:val="24"/>
                <w:szCs w:val="24"/>
              </w:rPr>
            </w:pPr>
            <w:r w:rsidRPr="00054E92">
              <w:rPr>
                <w:rFonts w:eastAsia="Times New Roman" w:cstheme="minorHAnsi"/>
                <w:b/>
                <w:bCs/>
                <w:color w:val="000000"/>
                <w:sz w:val="24"/>
                <w:szCs w:val="24"/>
              </w:rPr>
              <w:t>Desoto County SSS</w:t>
            </w:r>
          </w:p>
        </w:tc>
        <w:tc>
          <w:tcPr>
            <w:tcW w:w="4073" w:type="dxa"/>
            <w:gridSpan w:val="3"/>
            <w:vMerge w:val="restart"/>
            <w:tcBorders>
              <w:top w:val="single" w:sz="12" w:space="0" w:color="808080"/>
              <w:left w:val="single" w:sz="8" w:space="0" w:color="auto"/>
              <w:bottom w:val="single" w:sz="8" w:space="0" w:color="000000"/>
              <w:right w:val="single" w:sz="8" w:space="0" w:color="000000"/>
            </w:tcBorders>
            <w:shd w:val="clear" w:color="9999FF" w:fill="C0C0C0"/>
            <w:noWrap/>
            <w:vAlign w:val="bottom"/>
            <w:hideMark/>
          </w:tcPr>
          <w:p w:rsidR="00DC2C46" w:rsidRPr="00054E92" w:rsidRDefault="00DC2C46" w:rsidP="00DC2C46">
            <w:pPr>
              <w:spacing w:after="0" w:line="240" w:lineRule="auto"/>
              <w:rPr>
                <w:rFonts w:eastAsia="Times New Roman" w:cstheme="minorHAnsi"/>
                <w:b/>
                <w:bCs/>
                <w:color w:val="000000"/>
                <w:sz w:val="24"/>
                <w:szCs w:val="24"/>
              </w:rPr>
            </w:pPr>
            <w:r w:rsidRPr="00054E92">
              <w:rPr>
                <w:rFonts w:eastAsia="Times New Roman" w:cstheme="minorHAnsi"/>
                <w:b/>
                <w:bCs/>
                <w:color w:val="000000"/>
                <w:sz w:val="24"/>
                <w:szCs w:val="24"/>
              </w:rPr>
              <w:t> </w:t>
            </w:r>
          </w:p>
        </w:tc>
        <w:tc>
          <w:tcPr>
            <w:tcW w:w="1134" w:type="dxa"/>
            <w:tcBorders>
              <w:top w:val="nil"/>
              <w:left w:val="nil"/>
              <w:bottom w:val="single" w:sz="4" w:space="0" w:color="auto"/>
              <w:right w:val="nil"/>
            </w:tcBorders>
            <w:shd w:val="clear" w:color="9999FF" w:fill="C0C0C0"/>
            <w:noWrap/>
            <w:vAlign w:val="bottom"/>
            <w:hideMark/>
          </w:tcPr>
          <w:p w:rsidR="00DC2C46" w:rsidRPr="00054E92" w:rsidRDefault="00DC2C46" w:rsidP="00DC2C46">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27.8%</w:t>
            </w:r>
          </w:p>
        </w:tc>
        <w:tc>
          <w:tcPr>
            <w:tcW w:w="1057" w:type="dxa"/>
            <w:tcBorders>
              <w:top w:val="nil"/>
              <w:left w:val="nil"/>
              <w:bottom w:val="single" w:sz="4" w:space="0" w:color="auto"/>
              <w:right w:val="nil"/>
            </w:tcBorders>
            <w:shd w:val="clear" w:color="000000" w:fill="C0C0C0"/>
            <w:noWrap/>
            <w:vAlign w:val="bottom"/>
            <w:hideMark/>
          </w:tcPr>
          <w:p w:rsidR="00DC2C46" w:rsidRPr="00054E92" w:rsidRDefault="00DC2C46" w:rsidP="00DC2C46">
            <w:pPr>
              <w:spacing w:after="0" w:line="240" w:lineRule="auto"/>
              <w:jc w:val="right"/>
              <w:rPr>
                <w:rFonts w:eastAsia="Times New Roman" w:cstheme="minorHAnsi"/>
                <w:b/>
                <w:bCs/>
                <w:i/>
                <w:iCs/>
                <w:sz w:val="24"/>
                <w:szCs w:val="24"/>
              </w:rPr>
            </w:pPr>
            <w:r w:rsidRPr="00054E92">
              <w:rPr>
                <w:rFonts w:eastAsia="Times New Roman" w:cstheme="minorHAnsi"/>
                <w:b/>
                <w:bCs/>
                <w:i/>
                <w:iCs/>
                <w:sz w:val="24"/>
                <w:szCs w:val="24"/>
              </w:rPr>
              <w:t>4.6%</w:t>
            </w:r>
          </w:p>
        </w:tc>
        <w:tc>
          <w:tcPr>
            <w:tcW w:w="1844" w:type="dxa"/>
            <w:vMerge w:val="restart"/>
            <w:tcBorders>
              <w:top w:val="nil"/>
              <w:left w:val="nil"/>
              <w:bottom w:val="single" w:sz="8" w:space="0" w:color="000000"/>
              <w:right w:val="single" w:sz="8" w:space="0" w:color="auto"/>
            </w:tcBorders>
            <w:shd w:val="clear" w:color="9999FF" w:fill="C0C0C0"/>
            <w:noWrap/>
            <w:vAlign w:val="center"/>
            <w:hideMark/>
          </w:tcPr>
          <w:p w:rsidR="00DC2C46" w:rsidRPr="00054E92" w:rsidRDefault="00DC2C46" w:rsidP="00DC2C46">
            <w:pPr>
              <w:spacing w:after="0" w:line="240" w:lineRule="auto"/>
              <w:jc w:val="center"/>
              <w:rPr>
                <w:rFonts w:eastAsia="Times New Roman" w:cstheme="minorHAnsi"/>
                <w:b/>
                <w:bCs/>
                <w:i/>
                <w:iCs/>
                <w:color w:val="000000"/>
                <w:sz w:val="24"/>
                <w:szCs w:val="24"/>
              </w:rPr>
            </w:pPr>
            <w:r w:rsidRPr="00054E92">
              <w:rPr>
                <w:rFonts w:eastAsia="Times New Roman" w:cstheme="minorHAnsi"/>
                <w:b/>
                <w:bCs/>
                <w:i/>
                <w:iCs/>
                <w:color w:val="000000"/>
                <w:sz w:val="24"/>
                <w:szCs w:val="24"/>
              </w:rPr>
              <w:t>1.9%</w:t>
            </w:r>
          </w:p>
        </w:tc>
      </w:tr>
      <w:tr w:rsidR="00DC2C46" w:rsidRPr="00054E92" w:rsidTr="00DB6B91">
        <w:trPr>
          <w:trHeight w:val="276"/>
        </w:trPr>
        <w:tc>
          <w:tcPr>
            <w:tcW w:w="2947" w:type="dxa"/>
            <w:tcBorders>
              <w:top w:val="nil"/>
              <w:left w:val="single" w:sz="8" w:space="0" w:color="auto"/>
              <w:bottom w:val="single" w:sz="8" w:space="0" w:color="auto"/>
              <w:right w:val="single" w:sz="8" w:space="0" w:color="auto"/>
            </w:tcBorders>
            <w:shd w:val="clear" w:color="9999FF" w:fill="C0C0C0"/>
            <w:vAlign w:val="bottom"/>
            <w:hideMark/>
          </w:tcPr>
          <w:p w:rsidR="00DC2C46" w:rsidRPr="00054E92" w:rsidRDefault="00DC2C46" w:rsidP="00DC2C46">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Desoto County CPI</w:t>
            </w:r>
          </w:p>
        </w:tc>
        <w:tc>
          <w:tcPr>
            <w:tcW w:w="4073" w:type="dxa"/>
            <w:gridSpan w:val="3"/>
            <w:vMerge/>
            <w:tcBorders>
              <w:top w:val="nil"/>
              <w:left w:val="single" w:sz="8" w:space="0" w:color="auto"/>
              <w:bottom w:val="single" w:sz="8" w:space="0" w:color="auto"/>
              <w:right w:val="single" w:sz="8" w:space="0" w:color="auto"/>
            </w:tcBorders>
            <w:vAlign w:val="center"/>
            <w:hideMark/>
          </w:tcPr>
          <w:p w:rsidR="00DC2C46" w:rsidRPr="00054E92" w:rsidRDefault="00DC2C46" w:rsidP="00DC2C46">
            <w:pPr>
              <w:spacing w:after="0" w:line="240" w:lineRule="auto"/>
              <w:rPr>
                <w:rFonts w:eastAsia="Times New Roman" w:cstheme="minorHAnsi"/>
                <w:b/>
                <w:bCs/>
                <w:color w:val="000000"/>
                <w:sz w:val="24"/>
                <w:szCs w:val="24"/>
              </w:rPr>
            </w:pPr>
          </w:p>
        </w:tc>
        <w:tc>
          <w:tcPr>
            <w:tcW w:w="1134" w:type="dxa"/>
            <w:tcBorders>
              <w:top w:val="nil"/>
              <w:left w:val="nil"/>
              <w:bottom w:val="single" w:sz="8" w:space="0" w:color="auto"/>
              <w:right w:val="nil"/>
            </w:tcBorders>
            <w:shd w:val="clear" w:color="9999FF" w:fill="C0C0C0"/>
            <w:noWrap/>
            <w:vAlign w:val="bottom"/>
            <w:hideMark/>
          </w:tcPr>
          <w:p w:rsidR="00DC2C46" w:rsidRPr="00054E92" w:rsidRDefault="00DC2C46" w:rsidP="00DC2C46">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16.4%</w:t>
            </w:r>
          </w:p>
        </w:tc>
        <w:tc>
          <w:tcPr>
            <w:tcW w:w="1057" w:type="dxa"/>
            <w:tcBorders>
              <w:top w:val="nil"/>
              <w:left w:val="nil"/>
              <w:bottom w:val="single" w:sz="8" w:space="0" w:color="auto"/>
              <w:right w:val="nil"/>
            </w:tcBorders>
            <w:shd w:val="clear" w:color="000000" w:fill="C0C0C0"/>
            <w:noWrap/>
            <w:vAlign w:val="bottom"/>
            <w:hideMark/>
          </w:tcPr>
          <w:p w:rsidR="00DC2C46" w:rsidRPr="00054E92" w:rsidRDefault="00DC2C46" w:rsidP="00DC2C46">
            <w:pPr>
              <w:spacing w:after="0" w:line="240" w:lineRule="auto"/>
              <w:jc w:val="right"/>
              <w:rPr>
                <w:rFonts w:eastAsia="Times New Roman" w:cstheme="minorHAnsi"/>
                <w:i/>
                <w:iCs/>
                <w:sz w:val="24"/>
                <w:szCs w:val="24"/>
              </w:rPr>
            </w:pPr>
            <w:r w:rsidRPr="00054E92">
              <w:rPr>
                <w:rFonts w:eastAsia="Times New Roman" w:cstheme="minorHAnsi"/>
                <w:i/>
                <w:iCs/>
                <w:sz w:val="24"/>
                <w:szCs w:val="24"/>
              </w:rPr>
              <w:t>2.7%</w:t>
            </w:r>
          </w:p>
        </w:tc>
        <w:tc>
          <w:tcPr>
            <w:tcW w:w="1844" w:type="dxa"/>
            <w:vMerge/>
            <w:tcBorders>
              <w:top w:val="nil"/>
              <w:left w:val="nil"/>
              <w:bottom w:val="single" w:sz="8" w:space="0" w:color="000000"/>
              <w:right w:val="single" w:sz="8" w:space="0" w:color="auto"/>
            </w:tcBorders>
            <w:vAlign w:val="center"/>
            <w:hideMark/>
          </w:tcPr>
          <w:p w:rsidR="00DC2C46" w:rsidRPr="00054E92" w:rsidRDefault="00DC2C46" w:rsidP="00DC2C46">
            <w:pPr>
              <w:spacing w:after="0" w:line="240" w:lineRule="auto"/>
              <w:rPr>
                <w:rFonts w:eastAsia="Times New Roman" w:cstheme="minorHAnsi"/>
                <w:b/>
                <w:bCs/>
                <w:i/>
                <w:iCs/>
                <w:color w:val="000000"/>
                <w:sz w:val="24"/>
                <w:szCs w:val="24"/>
              </w:rPr>
            </w:pPr>
          </w:p>
        </w:tc>
      </w:tr>
    </w:tbl>
    <w:p w:rsidR="00AA2B46" w:rsidRPr="00054E92" w:rsidRDefault="00AA2B46">
      <w:pPr>
        <w:rPr>
          <w:rFonts w:cstheme="minorHAnsi"/>
          <w:b/>
          <w:sz w:val="24"/>
          <w:szCs w:val="24"/>
          <w:u w:val="single"/>
        </w:rPr>
      </w:pPr>
      <w:r w:rsidRPr="00054E92">
        <w:rPr>
          <w:rFonts w:cstheme="minorHAnsi"/>
          <w:b/>
          <w:sz w:val="24"/>
          <w:szCs w:val="24"/>
          <w:u w:val="single"/>
        </w:rPr>
        <w:br w:type="page"/>
      </w:r>
    </w:p>
    <w:p w:rsidR="00DC2C46" w:rsidRPr="00054E92" w:rsidRDefault="00FC322B">
      <w:pPr>
        <w:rPr>
          <w:rFonts w:cstheme="minorHAnsi"/>
          <w:b/>
          <w:sz w:val="24"/>
          <w:szCs w:val="24"/>
          <w:u w:val="single"/>
        </w:rPr>
      </w:pPr>
      <w:r w:rsidRPr="00054E92">
        <w:rPr>
          <w:rFonts w:cstheme="minorHAnsi"/>
          <w:noProof/>
          <w:sz w:val="24"/>
          <w:szCs w:val="24"/>
        </w:rPr>
        <w:drawing>
          <wp:inline distT="0" distB="0" distL="0" distR="0" wp14:anchorId="3A714E76" wp14:editId="27DBDB56">
            <wp:extent cx="5943600" cy="4314190"/>
            <wp:effectExtent l="0" t="0" r="1905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2C46" w:rsidRPr="00054E92" w:rsidRDefault="00DC2C46">
      <w:pPr>
        <w:rPr>
          <w:rFonts w:cstheme="minorHAnsi"/>
          <w:b/>
          <w:sz w:val="24"/>
          <w:szCs w:val="24"/>
          <w:u w:val="single"/>
        </w:rPr>
      </w:pPr>
      <w:r w:rsidRPr="00054E92">
        <w:rPr>
          <w:rFonts w:cstheme="minorHAnsi"/>
          <w:b/>
          <w:sz w:val="24"/>
          <w:szCs w:val="24"/>
          <w:u w:val="single"/>
        </w:rPr>
        <w:br w:type="page"/>
      </w:r>
    </w:p>
    <w:tbl>
      <w:tblPr>
        <w:tblW w:w="10440" w:type="dxa"/>
        <w:tblInd w:w="-342" w:type="dxa"/>
        <w:tblLayout w:type="fixed"/>
        <w:tblLook w:val="04A0" w:firstRow="1" w:lastRow="0" w:firstColumn="1" w:lastColumn="0" w:noHBand="0" w:noVBand="1"/>
      </w:tblPr>
      <w:tblGrid>
        <w:gridCol w:w="1277"/>
        <w:gridCol w:w="1063"/>
        <w:gridCol w:w="1016"/>
        <w:gridCol w:w="964"/>
        <w:gridCol w:w="900"/>
        <w:gridCol w:w="16"/>
        <w:gridCol w:w="974"/>
        <w:gridCol w:w="1080"/>
        <w:gridCol w:w="900"/>
        <w:gridCol w:w="270"/>
        <w:gridCol w:w="990"/>
        <w:gridCol w:w="990"/>
      </w:tblGrid>
      <w:tr w:rsidR="00742C39" w:rsidRPr="00742C39" w:rsidTr="00742C39">
        <w:trPr>
          <w:trHeight w:val="825"/>
        </w:trPr>
        <w:tc>
          <w:tcPr>
            <w:tcW w:w="10440" w:type="dxa"/>
            <w:gridSpan w:val="12"/>
            <w:tcBorders>
              <w:top w:val="nil"/>
              <w:left w:val="nil"/>
              <w:bottom w:val="nil"/>
              <w:right w:val="nil"/>
            </w:tcBorders>
            <w:shd w:val="clear" w:color="auto" w:fill="auto"/>
            <w:vAlign w:val="center"/>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Table 2. Average Annual Percentage Difference of Median of Basic Needs between Standards at Point #1 and Point #2,</w:t>
            </w:r>
            <w:r w:rsidRPr="00742C39">
              <w:rPr>
                <w:rFonts w:ascii="Calibri" w:eastAsia="Times New Roman" w:hAnsi="Calibri" w:cs="Calibri"/>
                <w:sz w:val="20"/>
                <w:szCs w:val="20"/>
              </w:rPr>
              <w:br/>
              <w:t xml:space="preserve"> by metro and non-metro counties across all family types.</w:t>
            </w:r>
          </w:p>
        </w:tc>
      </w:tr>
      <w:tr w:rsidR="00742C39" w:rsidRPr="00742C39" w:rsidTr="00742C39">
        <w:trPr>
          <w:trHeight w:val="585"/>
        </w:trPr>
        <w:tc>
          <w:tcPr>
            <w:tcW w:w="1277"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742C39" w:rsidRPr="00742C39" w:rsidRDefault="00742C39" w:rsidP="00742C39">
            <w:pPr>
              <w:spacing w:after="0" w:line="240" w:lineRule="auto"/>
              <w:rPr>
                <w:rFonts w:ascii="Calibri" w:eastAsia="Times New Roman" w:hAnsi="Calibri" w:cs="Calibri"/>
                <w:b/>
                <w:bCs/>
                <w:sz w:val="20"/>
                <w:szCs w:val="20"/>
              </w:rPr>
            </w:pPr>
            <w:r w:rsidRPr="00742C39">
              <w:rPr>
                <w:rFonts w:ascii="Calibri" w:eastAsia="Times New Roman" w:hAnsi="Calibri" w:cs="Calibri"/>
                <w:b/>
                <w:bCs/>
                <w:sz w:val="20"/>
                <w:szCs w:val="20"/>
              </w:rPr>
              <w:t> </w:t>
            </w:r>
          </w:p>
        </w:tc>
        <w:tc>
          <w:tcPr>
            <w:tcW w:w="1063" w:type="dxa"/>
            <w:tcBorders>
              <w:top w:val="single" w:sz="8" w:space="0" w:color="auto"/>
              <w:left w:val="nil"/>
              <w:bottom w:val="nil"/>
              <w:right w:val="single" w:sz="8"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b/>
                <w:bCs/>
                <w:sz w:val="20"/>
                <w:szCs w:val="20"/>
              </w:rPr>
            </w:pPr>
            <w:r w:rsidRPr="00742C39">
              <w:rPr>
                <w:rFonts w:ascii="Calibri" w:eastAsia="Times New Roman" w:hAnsi="Calibri" w:cs="Calibri"/>
                <w:b/>
                <w:bCs/>
                <w:sz w:val="20"/>
                <w:szCs w:val="20"/>
              </w:rPr>
              <w:t> </w:t>
            </w:r>
          </w:p>
        </w:tc>
        <w:tc>
          <w:tcPr>
            <w:tcW w:w="1016" w:type="dxa"/>
            <w:tcBorders>
              <w:top w:val="single" w:sz="8" w:space="0" w:color="auto"/>
              <w:left w:val="nil"/>
              <w:bottom w:val="nil"/>
              <w:right w:val="nil"/>
            </w:tcBorders>
            <w:shd w:val="clear" w:color="000000" w:fill="FFFFFF"/>
            <w:vAlign w:val="bottom"/>
            <w:hideMark/>
          </w:tcPr>
          <w:p w:rsidR="00742C39" w:rsidRPr="00742C39" w:rsidRDefault="00742C39" w:rsidP="00742C39">
            <w:pPr>
              <w:spacing w:after="0" w:line="240" w:lineRule="auto"/>
              <w:jc w:val="center"/>
              <w:rPr>
                <w:rFonts w:ascii="Calibri" w:eastAsia="Times New Roman" w:hAnsi="Calibri" w:cs="Calibri"/>
                <w:b/>
                <w:bCs/>
                <w:sz w:val="20"/>
                <w:szCs w:val="20"/>
              </w:rPr>
            </w:pPr>
            <w:r w:rsidRPr="00742C39">
              <w:rPr>
                <w:rFonts w:ascii="Calibri" w:eastAsia="Times New Roman" w:hAnsi="Calibri" w:cs="Calibri"/>
                <w:b/>
                <w:bCs/>
                <w:sz w:val="20"/>
                <w:szCs w:val="20"/>
              </w:rPr>
              <w:t>HOUSING</w:t>
            </w:r>
          </w:p>
        </w:tc>
        <w:tc>
          <w:tcPr>
            <w:tcW w:w="964" w:type="dxa"/>
            <w:tcBorders>
              <w:top w:val="single" w:sz="8" w:space="0" w:color="auto"/>
              <w:left w:val="nil"/>
              <w:bottom w:val="nil"/>
              <w:right w:val="nil"/>
            </w:tcBorders>
            <w:shd w:val="clear" w:color="000000" w:fill="FFFFFF"/>
            <w:vAlign w:val="bottom"/>
            <w:hideMark/>
          </w:tcPr>
          <w:p w:rsidR="00742C39" w:rsidRPr="00742C39" w:rsidRDefault="00742C39" w:rsidP="00742C39">
            <w:pPr>
              <w:spacing w:after="0" w:line="240" w:lineRule="auto"/>
              <w:jc w:val="center"/>
              <w:rPr>
                <w:rFonts w:ascii="Calibri" w:eastAsia="Times New Roman" w:hAnsi="Calibri" w:cs="Calibri"/>
                <w:b/>
                <w:bCs/>
                <w:sz w:val="20"/>
                <w:szCs w:val="20"/>
              </w:rPr>
            </w:pPr>
            <w:r w:rsidRPr="00742C39">
              <w:rPr>
                <w:rFonts w:ascii="Calibri" w:eastAsia="Times New Roman" w:hAnsi="Calibri" w:cs="Calibri"/>
                <w:b/>
                <w:bCs/>
                <w:sz w:val="20"/>
                <w:szCs w:val="20"/>
              </w:rPr>
              <w:t>CHILD CARE</w:t>
            </w:r>
          </w:p>
        </w:tc>
        <w:tc>
          <w:tcPr>
            <w:tcW w:w="916" w:type="dxa"/>
            <w:gridSpan w:val="2"/>
            <w:tcBorders>
              <w:top w:val="single" w:sz="8" w:space="0" w:color="auto"/>
              <w:left w:val="nil"/>
              <w:bottom w:val="nil"/>
              <w:right w:val="nil"/>
            </w:tcBorders>
            <w:shd w:val="clear" w:color="000000" w:fill="FFFFFF"/>
            <w:vAlign w:val="bottom"/>
            <w:hideMark/>
          </w:tcPr>
          <w:p w:rsidR="00742C39" w:rsidRPr="00742C39" w:rsidRDefault="00742C39" w:rsidP="00742C39">
            <w:pPr>
              <w:spacing w:after="0" w:line="240" w:lineRule="auto"/>
              <w:jc w:val="center"/>
              <w:rPr>
                <w:rFonts w:ascii="Calibri" w:eastAsia="Times New Roman" w:hAnsi="Calibri" w:cs="Calibri"/>
                <w:b/>
                <w:bCs/>
                <w:sz w:val="20"/>
                <w:szCs w:val="20"/>
              </w:rPr>
            </w:pPr>
            <w:r w:rsidRPr="00742C39">
              <w:rPr>
                <w:rFonts w:ascii="Calibri" w:eastAsia="Times New Roman" w:hAnsi="Calibri" w:cs="Calibri"/>
                <w:b/>
                <w:bCs/>
                <w:sz w:val="20"/>
                <w:szCs w:val="20"/>
              </w:rPr>
              <w:t>FOOD</w:t>
            </w:r>
          </w:p>
        </w:tc>
        <w:tc>
          <w:tcPr>
            <w:tcW w:w="974" w:type="dxa"/>
            <w:tcBorders>
              <w:top w:val="single" w:sz="8" w:space="0" w:color="auto"/>
              <w:left w:val="nil"/>
              <w:bottom w:val="single" w:sz="4" w:space="0" w:color="auto"/>
              <w:right w:val="nil"/>
            </w:tcBorders>
            <w:shd w:val="clear" w:color="000000" w:fill="FFFFFF"/>
            <w:vAlign w:val="bottom"/>
            <w:hideMark/>
          </w:tcPr>
          <w:p w:rsidR="00742C39" w:rsidRPr="00742C39" w:rsidRDefault="00742C39" w:rsidP="00742C39">
            <w:pPr>
              <w:spacing w:after="0" w:line="240" w:lineRule="auto"/>
              <w:jc w:val="center"/>
              <w:rPr>
                <w:rFonts w:ascii="Calibri" w:eastAsia="Times New Roman" w:hAnsi="Calibri" w:cs="Calibri"/>
                <w:color w:val="000000"/>
                <w:sz w:val="16"/>
                <w:szCs w:val="16"/>
              </w:rPr>
            </w:pPr>
            <w:r w:rsidRPr="00742C39">
              <w:rPr>
                <w:rFonts w:ascii="Calibri" w:eastAsia="Times New Roman" w:hAnsi="Calibri" w:cs="Calibri"/>
                <w:color w:val="000000"/>
                <w:sz w:val="16"/>
                <w:szCs w:val="16"/>
              </w:rPr>
              <w:t>TRANSPORTATION</w:t>
            </w:r>
          </w:p>
        </w:tc>
        <w:tc>
          <w:tcPr>
            <w:tcW w:w="1080" w:type="dxa"/>
            <w:tcBorders>
              <w:top w:val="single" w:sz="8" w:space="0" w:color="auto"/>
              <w:left w:val="nil"/>
              <w:bottom w:val="nil"/>
              <w:right w:val="nil"/>
            </w:tcBorders>
            <w:shd w:val="clear" w:color="000000" w:fill="FFFFFF"/>
            <w:vAlign w:val="bottom"/>
            <w:hideMark/>
          </w:tcPr>
          <w:p w:rsidR="00742C39" w:rsidRPr="00742C39" w:rsidRDefault="00742C39" w:rsidP="00742C39">
            <w:pPr>
              <w:spacing w:after="0" w:line="240" w:lineRule="auto"/>
              <w:jc w:val="center"/>
              <w:rPr>
                <w:rFonts w:ascii="Calibri" w:eastAsia="Times New Roman" w:hAnsi="Calibri" w:cs="Calibri"/>
                <w:b/>
                <w:bCs/>
                <w:sz w:val="20"/>
                <w:szCs w:val="20"/>
              </w:rPr>
            </w:pPr>
            <w:r w:rsidRPr="00742C39">
              <w:rPr>
                <w:rFonts w:ascii="Calibri" w:eastAsia="Times New Roman" w:hAnsi="Calibri" w:cs="Calibri"/>
                <w:b/>
                <w:bCs/>
                <w:sz w:val="20"/>
                <w:szCs w:val="20"/>
              </w:rPr>
              <w:t>HEALTH CARE</w:t>
            </w:r>
          </w:p>
        </w:tc>
        <w:tc>
          <w:tcPr>
            <w:tcW w:w="900" w:type="dxa"/>
            <w:tcBorders>
              <w:top w:val="single" w:sz="8" w:space="0" w:color="auto"/>
              <w:left w:val="nil"/>
              <w:bottom w:val="nil"/>
              <w:right w:val="nil"/>
            </w:tcBorders>
            <w:shd w:val="clear" w:color="000000" w:fill="FFFFFF"/>
            <w:vAlign w:val="bottom"/>
            <w:hideMark/>
          </w:tcPr>
          <w:p w:rsidR="00742C39" w:rsidRPr="00742C39" w:rsidRDefault="00742C39" w:rsidP="00742C39">
            <w:pPr>
              <w:spacing w:after="0" w:line="240" w:lineRule="auto"/>
              <w:jc w:val="center"/>
              <w:rPr>
                <w:rFonts w:ascii="Calibri" w:eastAsia="Times New Roman" w:hAnsi="Calibri" w:cs="Calibri"/>
                <w:b/>
                <w:bCs/>
                <w:sz w:val="20"/>
                <w:szCs w:val="20"/>
              </w:rPr>
            </w:pPr>
            <w:r w:rsidRPr="00742C39">
              <w:rPr>
                <w:rFonts w:ascii="Calibri" w:eastAsia="Times New Roman" w:hAnsi="Calibri" w:cs="Calibri"/>
                <w:b/>
                <w:bCs/>
                <w:sz w:val="20"/>
                <w:szCs w:val="20"/>
              </w:rPr>
              <w:t>MISC</w:t>
            </w:r>
          </w:p>
        </w:tc>
        <w:tc>
          <w:tcPr>
            <w:tcW w:w="270" w:type="dxa"/>
            <w:tcBorders>
              <w:top w:val="single" w:sz="8" w:space="0" w:color="auto"/>
              <w:left w:val="nil"/>
              <w:bottom w:val="nil"/>
              <w:right w:val="single" w:sz="8" w:space="0" w:color="auto"/>
            </w:tcBorders>
            <w:shd w:val="clear" w:color="auto" w:fill="auto"/>
            <w:vAlign w:val="bottom"/>
            <w:hideMark/>
          </w:tcPr>
          <w:p w:rsidR="00742C39" w:rsidRPr="00742C39" w:rsidRDefault="00742C39" w:rsidP="00742C39">
            <w:pPr>
              <w:spacing w:after="0" w:line="240" w:lineRule="auto"/>
              <w:rPr>
                <w:rFonts w:ascii="Calibri" w:eastAsia="Times New Roman" w:hAnsi="Calibri" w:cs="Calibri"/>
                <w:b/>
                <w:bCs/>
                <w:sz w:val="20"/>
                <w:szCs w:val="20"/>
              </w:rPr>
            </w:pPr>
            <w:r w:rsidRPr="00742C39">
              <w:rPr>
                <w:rFonts w:ascii="Calibri" w:eastAsia="Times New Roman" w:hAnsi="Calibri" w:cs="Calibri"/>
                <w:b/>
                <w:bCs/>
                <w:sz w:val="20"/>
                <w:szCs w:val="20"/>
              </w:rPr>
              <w:t> </w:t>
            </w:r>
          </w:p>
        </w:tc>
        <w:tc>
          <w:tcPr>
            <w:tcW w:w="990" w:type="dxa"/>
            <w:tcBorders>
              <w:top w:val="single" w:sz="8" w:space="0" w:color="auto"/>
              <w:left w:val="nil"/>
              <w:bottom w:val="single" w:sz="4" w:space="0" w:color="auto"/>
              <w:right w:val="nil"/>
            </w:tcBorders>
            <w:shd w:val="clear" w:color="000000" w:fill="FFFFFF"/>
            <w:vAlign w:val="bottom"/>
            <w:hideMark/>
          </w:tcPr>
          <w:p w:rsidR="00742C39" w:rsidRPr="00742C39" w:rsidRDefault="00742C39" w:rsidP="00742C39">
            <w:pPr>
              <w:spacing w:after="0" w:line="240" w:lineRule="auto"/>
              <w:jc w:val="center"/>
              <w:rPr>
                <w:rFonts w:ascii="Calibri" w:eastAsia="Times New Roman" w:hAnsi="Calibri" w:cs="Calibri"/>
                <w:b/>
                <w:bCs/>
                <w:sz w:val="20"/>
                <w:szCs w:val="20"/>
              </w:rPr>
            </w:pPr>
            <w:r w:rsidRPr="00742C39">
              <w:rPr>
                <w:rFonts w:ascii="Calibri" w:eastAsia="Times New Roman" w:hAnsi="Calibri" w:cs="Calibri"/>
                <w:b/>
                <w:bCs/>
                <w:sz w:val="20"/>
                <w:szCs w:val="20"/>
              </w:rPr>
              <w:t>TAXES</w:t>
            </w:r>
          </w:p>
        </w:tc>
        <w:tc>
          <w:tcPr>
            <w:tcW w:w="990" w:type="dxa"/>
            <w:tcBorders>
              <w:top w:val="single" w:sz="8" w:space="0" w:color="auto"/>
              <w:left w:val="nil"/>
              <w:bottom w:val="nil"/>
              <w:right w:val="nil"/>
            </w:tcBorders>
            <w:shd w:val="clear" w:color="000000" w:fill="FFFFFF"/>
            <w:vAlign w:val="bottom"/>
            <w:hideMark/>
          </w:tcPr>
          <w:p w:rsidR="00742C39" w:rsidRPr="00742C39" w:rsidRDefault="00742C39" w:rsidP="00742C39">
            <w:pPr>
              <w:spacing w:after="0" w:line="240" w:lineRule="auto"/>
              <w:jc w:val="center"/>
              <w:rPr>
                <w:rFonts w:ascii="Calibri" w:eastAsia="Times New Roman" w:hAnsi="Calibri" w:cs="Calibri"/>
                <w:b/>
                <w:bCs/>
                <w:sz w:val="20"/>
                <w:szCs w:val="20"/>
              </w:rPr>
            </w:pPr>
            <w:r w:rsidRPr="00742C39">
              <w:rPr>
                <w:rFonts w:ascii="Calibri" w:eastAsia="Times New Roman" w:hAnsi="Calibri" w:cs="Calibri"/>
                <w:b/>
                <w:bCs/>
                <w:sz w:val="20"/>
                <w:szCs w:val="20"/>
              </w:rPr>
              <w:t>TAX CREDITS</w:t>
            </w:r>
          </w:p>
        </w:tc>
      </w:tr>
      <w:tr w:rsidR="00742C39" w:rsidRPr="00742C39" w:rsidTr="00742C39">
        <w:trPr>
          <w:trHeight w:val="315"/>
        </w:trPr>
        <w:tc>
          <w:tcPr>
            <w:tcW w:w="1277" w:type="dxa"/>
            <w:vMerge/>
            <w:tcBorders>
              <w:top w:val="single" w:sz="8" w:space="0" w:color="auto"/>
              <w:left w:val="single" w:sz="8" w:space="0" w:color="auto"/>
              <w:bottom w:val="single" w:sz="8" w:space="0" w:color="000000"/>
              <w:right w:val="single" w:sz="8" w:space="0" w:color="auto"/>
            </w:tcBorders>
            <w:vAlign w:val="center"/>
            <w:hideMark/>
          </w:tcPr>
          <w:p w:rsidR="00742C39" w:rsidRPr="00742C39" w:rsidRDefault="00742C39" w:rsidP="00742C39">
            <w:pPr>
              <w:spacing w:after="0" w:line="240" w:lineRule="auto"/>
              <w:rPr>
                <w:rFonts w:ascii="Calibri" w:eastAsia="Times New Roman" w:hAnsi="Calibri" w:cs="Calibri"/>
                <w:b/>
                <w:bCs/>
                <w:sz w:val="20"/>
                <w:szCs w:val="20"/>
              </w:rPr>
            </w:pPr>
          </w:p>
        </w:tc>
        <w:tc>
          <w:tcPr>
            <w:tcW w:w="1063" w:type="dxa"/>
            <w:tcBorders>
              <w:top w:val="nil"/>
              <w:left w:val="nil"/>
              <w:bottom w:val="single" w:sz="8" w:space="0" w:color="auto"/>
              <w:right w:val="single" w:sz="8"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b/>
                <w:bCs/>
                <w:sz w:val="20"/>
                <w:szCs w:val="20"/>
              </w:rPr>
            </w:pPr>
            <w:r w:rsidRPr="00742C39">
              <w:rPr>
                <w:rFonts w:ascii="Calibri" w:eastAsia="Times New Roman" w:hAnsi="Calibri" w:cs="Calibri"/>
                <w:b/>
                <w:bCs/>
                <w:sz w:val="20"/>
                <w:szCs w:val="20"/>
              </w:rPr>
              <w:t> </w:t>
            </w:r>
          </w:p>
        </w:tc>
        <w:tc>
          <w:tcPr>
            <w:tcW w:w="1016" w:type="dxa"/>
            <w:tcBorders>
              <w:top w:val="single" w:sz="4" w:space="0" w:color="auto"/>
              <w:left w:val="nil"/>
              <w:bottom w:val="single" w:sz="8" w:space="0" w:color="auto"/>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b/>
                <w:bCs/>
                <w:sz w:val="20"/>
                <w:szCs w:val="20"/>
              </w:rPr>
            </w:pPr>
            <w:r w:rsidRPr="00742C39">
              <w:rPr>
                <w:rFonts w:ascii="Calibri" w:eastAsia="Times New Roman" w:hAnsi="Calibri" w:cs="Calibri"/>
                <w:b/>
                <w:bCs/>
                <w:sz w:val="20"/>
                <w:szCs w:val="20"/>
              </w:rPr>
              <w:t>MED</w:t>
            </w:r>
          </w:p>
        </w:tc>
        <w:tc>
          <w:tcPr>
            <w:tcW w:w="964" w:type="dxa"/>
            <w:tcBorders>
              <w:top w:val="single" w:sz="4" w:space="0" w:color="auto"/>
              <w:left w:val="nil"/>
              <w:bottom w:val="single" w:sz="8" w:space="0" w:color="auto"/>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b/>
                <w:bCs/>
                <w:sz w:val="20"/>
                <w:szCs w:val="20"/>
              </w:rPr>
            </w:pPr>
            <w:r w:rsidRPr="00742C39">
              <w:rPr>
                <w:rFonts w:ascii="Calibri" w:eastAsia="Times New Roman" w:hAnsi="Calibri" w:cs="Calibri"/>
                <w:b/>
                <w:bCs/>
                <w:sz w:val="20"/>
                <w:szCs w:val="20"/>
              </w:rPr>
              <w:t>MED</w:t>
            </w:r>
          </w:p>
        </w:tc>
        <w:tc>
          <w:tcPr>
            <w:tcW w:w="900" w:type="dxa"/>
            <w:tcBorders>
              <w:top w:val="single" w:sz="4" w:space="0" w:color="auto"/>
              <w:left w:val="nil"/>
              <w:bottom w:val="single" w:sz="8" w:space="0" w:color="auto"/>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b/>
                <w:bCs/>
                <w:sz w:val="20"/>
                <w:szCs w:val="20"/>
              </w:rPr>
            </w:pPr>
            <w:r w:rsidRPr="00742C39">
              <w:rPr>
                <w:rFonts w:ascii="Calibri" w:eastAsia="Times New Roman" w:hAnsi="Calibri" w:cs="Calibri"/>
                <w:b/>
                <w:bCs/>
                <w:sz w:val="20"/>
                <w:szCs w:val="20"/>
              </w:rPr>
              <w:t>MED</w:t>
            </w:r>
          </w:p>
        </w:tc>
        <w:tc>
          <w:tcPr>
            <w:tcW w:w="990" w:type="dxa"/>
            <w:gridSpan w:val="2"/>
            <w:tcBorders>
              <w:top w:val="nil"/>
              <w:left w:val="nil"/>
              <w:bottom w:val="single" w:sz="8" w:space="0" w:color="auto"/>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b/>
                <w:bCs/>
                <w:sz w:val="20"/>
                <w:szCs w:val="20"/>
              </w:rPr>
            </w:pPr>
            <w:r w:rsidRPr="00742C39">
              <w:rPr>
                <w:rFonts w:ascii="Calibri" w:eastAsia="Times New Roman" w:hAnsi="Calibri" w:cs="Calibri"/>
                <w:b/>
                <w:bCs/>
                <w:sz w:val="20"/>
                <w:szCs w:val="20"/>
              </w:rPr>
              <w:t>MED</w:t>
            </w:r>
          </w:p>
        </w:tc>
        <w:tc>
          <w:tcPr>
            <w:tcW w:w="1080" w:type="dxa"/>
            <w:tcBorders>
              <w:top w:val="single" w:sz="4" w:space="0" w:color="auto"/>
              <w:left w:val="nil"/>
              <w:bottom w:val="single" w:sz="8" w:space="0" w:color="auto"/>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b/>
                <w:bCs/>
                <w:sz w:val="20"/>
                <w:szCs w:val="20"/>
              </w:rPr>
            </w:pPr>
            <w:r w:rsidRPr="00742C39">
              <w:rPr>
                <w:rFonts w:ascii="Calibri" w:eastAsia="Times New Roman" w:hAnsi="Calibri" w:cs="Calibri"/>
                <w:b/>
                <w:bCs/>
                <w:sz w:val="20"/>
                <w:szCs w:val="20"/>
              </w:rPr>
              <w:t>MED</w:t>
            </w:r>
          </w:p>
        </w:tc>
        <w:tc>
          <w:tcPr>
            <w:tcW w:w="900" w:type="dxa"/>
            <w:tcBorders>
              <w:top w:val="single" w:sz="4" w:space="0" w:color="auto"/>
              <w:left w:val="nil"/>
              <w:bottom w:val="single" w:sz="8" w:space="0" w:color="auto"/>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b/>
                <w:bCs/>
                <w:sz w:val="20"/>
                <w:szCs w:val="20"/>
              </w:rPr>
            </w:pPr>
            <w:r w:rsidRPr="00742C39">
              <w:rPr>
                <w:rFonts w:ascii="Calibri" w:eastAsia="Times New Roman" w:hAnsi="Calibri" w:cs="Calibri"/>
                <w:b/>
                <w:bCs/>
                <w:sz w:val="20"/>
                <w:szCs w:val="20"/>
              </w:rPr>
              <w:t>MED</w:t>
            </w:r>
          </w:p>
        </w:tc>
        <w:tc>
          <w:tcPr>
            <w:tcW w:w="270" w:type="dxa"/>
            <w:tcBorders>
              <w:top w:val="nil"/>
              <w:left w:val="nil"/>
              <w:bottom w:val="nil"/>
              <w:right w:val="single" w:sz="8" w:space="0" w:color="auto"/>
            </w:tcBorders>
            <w:shd w:val="clear" w:color="auto" w:fill="auto"/>
            <w:noWrap/>
            <w:vAlign w:val="bottom"/>
            <w:hideMark/>
          </w:tcPr>
          <w:p w:rsidR="00742C39" w:rsidRPr="00742C39" w:rsidRDefault="00742C39" w:rsidP="00742C39">
            <w:pPr>
              <w:spacing w:after="0" w:line="240" w:lineRule="auto"/>
              <w:jc w:val="center"/>
              <w:rPr>
                <w:rFonts w:ascii="Calibri" w:eastAsia="Times New Roman" w:hAnsi="Calibri" w:cs="Calibri"/>
                <w:b/>
                <w:bCs/>
                <w:sz w:val="20"/>
                <w:szCs w:val="20"/>
              </w:rPr>
            </w:pPr>
            <w:r w:rsidRPr="00742C39">
              <w:rPr>
                <w:rFonts w:ascii="Calibri" w:eastAsia="Times New Roman" w:hAnsi="Calibri" w:cs="Calibri"/>
                <w:b/>
                <w:bCs/>
                <w:sz w:val="20"/>
                <w:szCs w:val="20"/>
              </w:rPr>
              <w:t> </w:t>
            </w:r>
          </w:p>
        </w:tc>
        <w:tc>
          <w:tcPr>
            <w:tcW w:w="990" w:type="dxa"/>
            <w:tcBorders>
              <w:top w:val="nil"/>
              <w:left w:val="nil"/>
              <w:bottom w:val="single" w:sz="8" w:space="0" w:color="auto"/>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b/>
                <w:bCs/>
                <w:sz w:val="20"/>
                <w:szCs w:val="20"/>
              </w:rPr>
            </w:pPr>
            <w:r w:rsidRPr="00742C39">
              <w:rPr>
                <w:rFonts w:ascii="Calibri" w:eastAsia="Times New Roman" w:hAnsi="Calibri" w:cs="Calibri"/>
                <w:b/>
                <w:bCs/>
                <w:sz w:val="20"/>
                <w:szCs w:val="20"/>
              </w:rPr>
              <w:t>MED</w:t>
            </w:r>
          </w:p>
        </w:tc>
        <w:tc>
          <w:tcPr>
            <w:tcW w:w="990" w:type="dxa"/>
            <w:tcBorders>
              <w:top w:val="single" w:sz="4" w:space="0" w:color="auto"/>
              <w:left w:val="nil"/>
              <w:bottom w:val="single" w:sz="8" w:space="0" w:color="auto"/>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b/>
                <w:bCs/>
                <w:sz w:val="20"/>
                <w:szCs w:val="20"/>
              </w:rPr>
            </w:pPr>
            <w:r w:rsidRPr="00742C39">
              <w:rPr>
                <w:rFonts w:ascii="Calibri" w:eastAsia="Times New Roman" w:hAnsi="Calibri" w:cs="Calibri"/>
                <w:b/>
                <w:bCs/>
                <w:sz w:val="20"/>
                <w:szCs w:val="20"/>
              </w:rPr>
              <w:t>MED</w:t>
            </w:r>
          </w:p>
        </w:tc>
      </w:tr>
      <w:tr w:rsidR="00742C39" w:rsidRPr="00742C39" w:rsidTr="00742C39">
        <w:trPr>
          <w:trHeight w:val="300"/>
        </w:trPr>
        <w:tc>
          <w:tcPr>
            <w:tcW w:w="1277" w:type="dxa"/>
            <w:vMerge w:val="restart"/>
            <w:tcBorders>
              <w:top w:val="nil"/>
              <w:left w:val="single" w:sz="8" w:space="0" w:color="auto"/>
              <w:bottom w:val="nil"/>
              <w:right w:val="single" w:sz="8" w:space="0" w:color="auto"/>
            </w:tcBorders>
            <w:shd w:val="clear" w:color="000000" w:fill="FFFFFF"/>
            <w:vAlign w:val="center"/>
            <w:hideMark/>
          </w:tcPr>
          <w:p w:rsidR="00742C39" w:rsidRPr="00742C39" w:rsidRDefault="00742C39" w:rsidP="00742C39">
            <w:pPr>
              <w:spacing w:after="0" w:line="240" w:lineRule="auto"/>
              <w:rPr>
                <w:rFonts w:ascii="Calibri" w:eastAsia="Times New Roman" w:hAnsi="Calibri" w:cs="Calibri"/>
                <w:sz w:val="20"/>
                <w:szCs w:val="20"/>
              </w:rPr>
            </w:pPr>
            <w:r w:rsidRPr="00742C39">
              <w:rPr>
                <w:rFonts w:ascii="Calibri" w:eastAsia="Times New Roman" w:hAnsi="Calibri" w:cs="Calibri"/>
                <w:sz w:val="20"/>
                <w:szCs w:val="20"/>
              </w:rPr>
              <w:t>California</w:t>
            </w:r>
            <w:r w:rsidRPr="00742C39">
              <w:rPr>
                <w:rFonts w:ascii="Calibri" w:eastAsia="Times New Roman" w:hAnsi="Calibri" w:cs="Calibri"/>
                <w:sz w:val="20"/>
                <w:szCs w:val="20"/>
              </w:rPr>
              <w:br/>
              <w:t>(2003-2008)</w:t>
            </w:r>
          </w:p>
        </w:tc>
        <w:tc>
          <w:tcPr>
            <w:tcW w:w="1063" w:type="dxa"/>
            <w:tcBorders>
              <w:top w:val="nil"/>
              <w:left w:val="nil"/>
              <w:bottom w:val="single" w:sz="4" w:space="0" w:color="auto"/>
              <w:right w:val="single" w:sz="8" w:space="0" w:color="auto"/>
            </w:tcBorders>
            <w:shd w:val="clear" w:color="auto" w:fill="auto"/>
            <w:noWrap/>
            <w:vAlign w:val="bottom"/>
            <w:hideMark/>
          </w:tcPr>
          <w:p w:rsidR="00742C39" w:rsidRPr="00742C39" w:rsidRDefault="00742C39" w:rsidP="00742C39">
            <w:pPr>
              <w:spacing w:after="0" w:line="240" w:lineRule="auto"/>
              <w:rPr>
                <w:rFonts w:ascii="Calibri" w:eastAsia="Times New Roman" w:hAnsi="Calibri" w:cs="Calibri"/>
                <w:sz w:val="20"/>
                <w:szCs w:val="20"/>
              </w:rPr>
            </w:pPr>
            <w:r w:rsidRPr="00742C39">
              <w:rPr>
                <w:rFonts w:ascii="Calibri" w:eastAsia="Times New Roman" w:hAnsi="Calibri" w:cs="Calibri"/>
                <w:sz w:val="20"/>
                <w:szCs w:val="20"/>
              </w:rPr>
              <w:t>Metro</w:t>
            </w:r>
          </w:p>
        </w:tc>
        <w:tc>
          <w:tcPr>
            <w:tcW w:w="1016"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4.1%</w:t>
            </w:r>
          </w:p>
        </w:tc>
        <w:tc>
          <w:tcPr>
            <w:tcW w:w="964"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3.6%</w:t>
            </w:r>
          </w:p>
        </w:tc>
        <w:tc>
          <w:tcPr>
            <w:tcW w:w="90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9.2%</w:t>
            </w:r>
          </w:p>
        </w:tc>
        <w:tc>
          <w:tcPr>
            <w:tcW w:w="990" w:type="dxa"/>
            <w:gridSpan w:val="2"/>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0.9%</w:t>
            </w:r>
          </w:p>
        </w:tc>
        <w:tc>
          <w:tcPr>
            <w:tcW w:w="108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6.6%</w:t>
            </w:r>
          </w:p>
        </w:tc>
        <w:tc>
          <w:tcPr>
            <w:tcW w:w="90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4.8%</w:t>
            </w:r>
          </w:p>
        </w:tc>
        <w:tc>
          <w:tcPr>
            <w:tcW w:w="270" w:type="dxa"/>
            <w:tcBorders>
              <w:top w:val="nil"/>
              <w:left w:val="nil"/>
              <w:bottom w:val="nil"/>
              <w:right w:val="single" w:sz="4" w:space="0" w:color="auto"/>
            </w:tcBorders>
            <w:shd w:val="clear" w:color="auto" w:fill="auto"/>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 xml:space="preserve"> </w:t>
            </w:r>
          </w:p>
        </w:tc>
        <w:tc>
          <w:tcPr>
            <w:tcW w:w="99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9.4%</w:t>
            </w:r>
          </w:p>
        </w:tc>
        <w:tc>
          <w:tcPr>
            <w:tcW w:w="99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0.0%</w:t>
            </w:r>
          </w:p>
        </w:tc>
      </w:tr>
      <w:tr w:rsidR="00742C39" w:rsidRPr="00742C39" w:rsidTr="00742C39">
        <w:trPr>
          <w:trHeight w:val="300"/>
        </w:trPr>
        <w:tc>
          <w:tcPr>
            <w:tcW w:w="1277" w:type="dxa"/>
            <w:vMerge/>
            <w:tcBorders>
              <w:top w:val="nil"/>
              <w:left w:val="single" w:sz="8" w:space="0" w:color="auto"/>
              <w:bottom w:val="nil"/>
              <w:right w:val="single" w:sz="8" w:space="0" w:color="auto"/>
            </w:tcBorders>
            <w:vAlign w:val="center"/>
            <w:hideMark/>
          </w:tcPr>
          <w:p w:rsidR="00742C39" w:rsidRPr="00742C39" w:rsidRDefault="00742C39" w:rsidP="00742C39">
            <w:pPr>
              <w:spacing w:after="0" w:line="240" w:lineRule="auto"/>
              <w:rPr>
                <w:rFonts w:ascii="Calibri" w:eastAsia="Times New Roman" w:hAnsi="Calibri" w:cs="Calibri"/>
                <w:sz w:val="20"/>
                <w:szCs w:val="20"/>
              </w:rPr>
            </w:pPr>
          </w:p>
        </w:tc>
        <w:tc>
          <w:tcPr>
            <w:tcW w:w="1063" w:type="dxa"/>
            <w:tcBorders>
              <w:top w:val="single" w:sz="4" w:space="0" w:color="auto"/>
              <w:left w:val="nil"/>
              <w:bottom w:val="single" w:sz="4" w:space="0" w:color="auto"/>
              <w:right w:val="single" w:sz="8" w:space="0" w:color="auto"/>
            </w:tcBorders>
            <w:shd w:val="clear" w:color="000000" w:fill="BFBFBF"/>
            <w:noWrap/>
            <w:vAlign w:val="bottom"/>
            <w:hideMark/>
          </w:tcPr>
          <w:p w:rsidR="00742C39" w:rsidRPr="00742C39" w:rsidRDefault="00742C39" w:rsidP="00742C39">
            <w:pPr>
              <w:spacing w:after="0" w:line="240" w:lineRule="auto"/>
              <w:rPr>
                <w:rFonts w:ascii="Calibri" w:eastAsia="Times New Roman" w:hAnsi="Calibri" w:cs="Calibri"/>
                <w:sz w:val="20"/>
                <w:szCs w:val="20"/>
              </w:rPr>
            </w:pPr>
            <w:r w:rsidRPr="00742C39">
              <w:rPr>
                <w:rFonts w:ascii="Calibri" w:eastAsia="Times New Roman" w:hAnsi="Calibri" w:cs="Calibri"/>
                <w:sz w:val="20"/>
                <w:szCs w:val="20"/>
              </w:rPr>
              <w:t>Non-metro</w:t>
            </w:r>
          </w:p>
        </w:tc>
        <w:tc>
          <w:tcPr>
            <w:tcW w:w="1016"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6.9%</w:t>
            </w:r>
          </w:p>
        </w:tc>
        <w:tc>
          <w:tcPr>
            <w:tcW w:w="964"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6.1%</w:t>
            </w:r>
          </w:p>
        </w:tc>
        <w:tc>
          <w:tcPr>
            <w:tcW w:w="90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6.7%</w:t>
            </w:r>
          </w:p>
        </w:tc>
        <w:tc>
          <w:tcPr>
            <w:tcW w:w="990" w:type="dxa"/>
            <w:gridSpan w:val="2"/>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0.8%</w:t>
            </w:r>
          </w:p>
        </w:tc>
        <w:tc>
          <w:tcPr>
            <w:tcW w:w="108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7.3%</w:t>
            </w:r>
          </w:p>
        </w:tc>
        <w:tc>
          <w:tcPr>
            <w:tcW w:w="90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6.0%</w:t>
            </w:r>
          </w:p>
        </w:tc>
        <w:tc>
          <w:tcPr>
            <w:tcW w:w="270" w:type="dxa"/>
            <w:tcBorders>
              <w:top w:val="nil"/>
              <w:left w:val="nil"/>
              <w:bottom w:val="single" w:sz="4" w:space="0" w:color="auto"/>
              <w:right w:val="single" w:sz="4" w:space="0" w:color="auto"/>
            </w:tcBorders>
            <w:shd w:val="clear" w:color="auto" w:fill="auto"/>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 xml:space="preserve"> </w:t>
            </w:r>
          </w:p>
        </w:tc>
        <w:tc>
          <w:tcPr>
            <w:tcW w:w="99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14.1%</w:t>
            </w:r>
          </w:p>
        </w:tc>
        <w:tc>
          <w:tcPr>
            <w:tcW w:w="99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-0.1%</w:t>
            </w:r>
          </w:p>
        </w:tc>
      </w:tr>
      <w:tr w:rsidR="00742C39" w:rsidRPr="00742C39" w:rsidTr="00742C39">
        <w:trPr>
          <w:trHeight w:val="300"/>
        </w:trPr>
        <w:tc>
          <w:tcPr>
            <w:tcW w:w="1277" w:type="dxa"/>
            <w:vMerge w:val="restart"/>
            <w:tcBorders>
              <w:top w:val="nil"/>
              <w:left w:val="single" w:sz="8" w:space="0" w:color="auto"/>
              <w:bottom w:val="nil"/>
              <w:right w:val="single" w:sz="8" w:space="0" w:color="auto"/>
            </w:tcBorders>
            <w:shd w:val="clear" w:color="000000" w:fill="FFFFFF"/>
            <w:vAlign w:val="center"/>
            <w:hideMark/>
          </w:tcPr>
          <w:p w:rsidR="00742C39" w:rsidRPr="00742C39" w:rsidRDefault="00742C39" w:rsidP="00742C39">
            <w:pPr>
              <w:spacing w:after="0" w:line="240" w:lineRule="auto"/>
              <w:rPr>
                <w:rFonts w:ascii="Calibri" w:eastAsia="Times New Roman" w:hAnsi="Calibri" w:cs="Calibri"/>
                <w:sz w:val="20"/>
                <w:szCs w:val="20"/>
              </w:rPr>
            </w:pPr>
            <w:r w:rsidRPr="00742C39">
              <w:rPr>
                <w:rFonts w:ascii="Calibri" w:eastAsia="Times New Roman" w:hAnsi="Calibri" w:cs="Calibri"/>
                <w:sz w:val="20"/>
                <w:szCs w:val="20"/>
              </w:rPr>
              <w:t>Illinois</w:t>
            </w:r>
            <w:r w:rsidRPr="00742C39">
              <w:rPr>
                <w:rFonts w:ascii="Calibri" w:eastAsia="Times New Roman" w:hAnsi="Calibri" w:cs="Calibri"/>
                <w:sz w:val="20"/>
                <w:szCs w:val="20"/>
              </w:rPr>
              <w:br/>
              <w:t>(2000-2010)</w:t>
            </w:r>
          </w:p>
        </w:tc>
        <w:tc>
          <w:tcPr>
            <w:tcW w:w="1063" w:type="dxa"/>
            <w:tcBorders>
              <w:top w:val="nil"/>
              <w:left w:val="nil"/>
              <w:bottom w:val="single" w:sz="4" w:space="0" w:color="auto"/>
              <w:right w:val="single" w:sz="8" w:space="0" w:color="auto"/>
            </w:tcBorders>
            <w:shd w:val="clear" w:color="auto" w:fill="auto"/>
            <w:noWrap/>
            <w:vAlign w:val="bottom"/>
            <w:hideMark/>
          </w:tcPr>
          <w:p w:rsidR="00742C39" w:rsidRPr="00742C39" w:rsidRDefault="00742C39" w:rsidP="00742C39">
            <w:pPr>
              <w:spacing w:after="0" w:line="240" w:lineRule="auto"/>
              <w:rPr>
                <w:rFonts w:ascii="Calibri" w:eastAsia="Times New Roman" w:hAnsi="Calibri" w:cs="Calibri"/>
                <w:sz w:val="20"/>
                <w:szCs w:val="20"/>
              </w:rPr>
            </w:pPr>
            <w:r w:rsidRPr="00742C39">
              <w:rPr>
                <w:rFonts w:ascii="Calibri" w:eastAsia="Times New Roman" w:hAnsi="Calibri" w:cs="Calibri"/>
                <w:sz w:val="20"/>
                <w:szCs w:val="20"/>
              </w:rPr>
              <w:t>Metro</w:t>
            </w:r>
          </w:p>
        </w:tc>
        <w:tc>
          <w:tcPr>
            <w:tcW w:w="1016"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1.7%</w:t>
            </w:r>
          </w:p>
        </w:tc>
        <w:tc>
          <w:tcPr>
            <w:tcW w:w="964"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4.0%</w:t>
            </w:r>
          </w:p>
        </w:tc>
        <w:tc>
          <w:tcPr>
            <w:tcW w:w="90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2.7%</w:t>
            </w:r>
          </w:p>
        </w:tc>
        <w:tc>
          <w:tcPr>
            <w:tcW w:w="990" w:type="dxa"/>
            <w:gridSpan w:val="2"/>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1.3%</w:t>
            </w:r>
          </w:p>
        </w:tc>
        <w:tc>
          <w:tcPr>
            <w:tcW w:w="108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4.6%</w:t>
            </w:r>
          </w:p>
        </w:tc>
        <w:tc>
          <w:tcPr>
            <w:tcW w:w="90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2.9%</w:t>
            </w:r>
          </w:p>
        </w:tc>
        <w:tc>
          <w:tcPr>
            <w:tcW w:w="270" w:type="dxa"/>
            <w:tcBorders>
              <w:top w:val="nil"/>
              <w:left w:val="nil"/>
              <w:bottom w:val="nil"/>
              <w:right w:val="single" w:sz="4" w:space="0" w:color="auto"/>
            </w:tcBorders>
            <w:shd w:val="clear" w:color="auto" w:fill="auto"/>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 xml:space="preserve"> </w:t>
            </w:r>
          </w:p>
        </w:tc>
        <w:tc>
          <w:tcPr>
            <w:tcW w:w="99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0.8%</w:t>
            </w:r>
          </w:p>
        </w:tc>
        <w:tc>
          <w:tcPr>
            <w:tcW w:w="99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8.1%</w:t>
            </w:r>
          </w:p>
        </w:tc>
      </w:tr>
      <w:tr w:rsidR="00742C39" w:rsidRPr="00742C39" w:rsidTr="00742C39">
        <w:trPr>
          <w:trHeight w:val="300"/>
        </w:trPr>
        <w:tc>
          <w:tcPr>
            <w:tcW w:w="1277" w:type="dxa"/>
            <w:vMerge/>
            <w:tcBorders>
              <w:top w:val="nil"/>
              <w:left w:val="single" w:sz="8" w:space="0" w:color="auto"/>
              <w:bottom w:val="nil"/>
              <w:right w:val="single" w:sz="8" w:space="0" w:color="auto"/>
            </w:tcBorders>
            <w:vAlign w:val="center"/>
            <w:hideMark/>
          </w:tcPr>
          <w:p w:rsidR="00742C39" w:rsidRPr="00742C39" w:rsidRDefault="00742C39" w:rsidP="00742C39">
            <w:pPr>
              <w:spacing w:after="0" w:line="240" w:lineRule="auto"/>
              <w:rPr>
                <w:rFonts w:ascii="Calibri" w:eastAsia="Times New Roman" w:hAnsi="Calibri" w:cs="Calibri"/>
                <w:sz w:val="20"/>
                <w:szCs w:val="20"/>
              </w:rPr>
            </w:pPr>
          </w:p>
        </w:tc>
        <w:tc>
          <w:tcPr>
            <w:tcW w:w="1063" w:type="dxa"/>
            <w:tcBorders>
              <w:top w:val="single" w:sz="4" w:space="0" w:color="auto"/>
              <w:left w:val="nil"/>
              <w:bottom w:val="single" w:sz="4" w:space="0" w:color="auto"/>
              <w:right w:val="single" w:sz="8" w:space="0" w:color="auto"/>
            </w:tcBorders>
            <w:shd w:val="clear" w:color="000000" w:fill="BFBFBF"/>
            <w:noWrap/>
            <w:vAlign w:val="bottom"/>
            <w:hideMark/>
          </w:tcPr>
          <w:p w:rsidR="00742C39" w:rsidRPr="00742C39" w:rsidRDefault="00742C39" w:rsidP="00742C39">
            <w:pPr>
              <w:spacing w:after="0" w:line="240" w:lineRule="auto"/>
              <w:rPr>
                <w:rFonts w:ascii="Calibri" w:eastAsia="Times New Roman" w:hAnsi="Calibri" w:cs="Calibri"/>
                <w:sz w:val="20"/>
                <w:szCs w:val="20"/>
              </w:rPr>
            </w:pPr>
            <w:r w:rsidRPr="00742C39">
              <w:rPr>
                <w:rFonts w:ascii="Calibri" w:eastAsia="Times New Roman" w:hAnsi="Calibri" w:cs="Calibri"/>
                <w:sz w:val="20"/>
                <w:szCs w:val="20"/>
              </w:rPr>
              <w:t>Non-metro</w:t>
            </w:r>
          </w:p>
        </w:tc>
        <w:tc>
          <w:tcPr>
            <w:tcW w:w="1016"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3.8%</w:t>
            </w:r>
          </w:p>
        </w:tc>
        <w:tc>
          <w:tcPr>
            <w:tcW w:w="964"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2.5%</w:t>
            </w:r>
          </w:p>
        </w:tc>
        <w:tc>
          <w:tcPr>
            <w:tcW w:w="90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2.7%</w:t>
            </w:r>
          </w:p>
        </w:tc>
        <w:tc>
          <w:tcPr>
            <w:tcW w:w="990" w:type="dxa"/>
            <w:gridSpan w:val="2"/>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1.4%</w:t>
            </w:r>
          </w:p>
        </w:tc>
        <w:tc>
          <w:tcPr>
            <w:tcW w:w="108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4.5%</w:t>
            </w:r>
          </w:p>
        </w:tc>
        <w:tc>
          <w:tcPr>
            <w:tcW w:w="90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2.9%</w:t>
            </w:r>
          </w:p>
        </w:tc>
        <w:tc>
          <w:tcPr>
            <w:tcW w:w="270" w:type="dxa"/>
            <w:tcBorders>
              <w:top w:val="nil"/>
              <w:left w:val="nil"/>
              <w:bottom w:val="single" w:sz="4" w:space="0" w:color="auto"/>
              <w:right w:val="single" w:sz="4" w:space="0" w:color="auto"/>
            </w:tcBorders>
            <w:shd w:val="clear" w:color="auto" w:fill="auto"/>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 xml:space="preserve"> </w:t>
            </w:r>
          </w:p>
        </w:tc>
        <w:tc>
          <w:tcPr>
            <w:tcW w:w="99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0.1%</w:t>
            </w:r>
          </w:p>
        </w:tc>
        <w:tc>
          <w:tcPr>
            <w:tcW w:w="99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10.2%</w:t>
            </w:r>
          </w:p>
        </w:tc>
      </w:tr>
      <w:tr w:rsidR="00742C39" w:rsidRPr="00742C39" w:rsidTr="00742C39">
        <w:trPr>
          <w:trHeight w:val="300"/>
        </w:trPr>
        <w:tc>
          <w:tcPr>
            <w:tcW w:w="1277" w:type="dxa"/>
            <w:vMerge w:val="restart"/>
            <w:tcBorders>
              <w:top w:val="nil"/>
              <w:left w:val="single" w:sz="8" w:space="0" w:color="auto"/>
              <w:bottom w:val="nil"/>
              <w:right w:val="single" w:sz="8" w:space="0" w:color="auto"/>
            </w:tcBorders>
            <w:shd w:val="clear" w:color="000000" w:fill="FFFFFF"/>
            <w:vAlign w:val="center"/>
            <w:hideMark/>
          </w:tcPr>
          <w:p w:rsidR="00742C39" w:rsidRPr="00742C39" w:rsidRDefault="00742C39" w:rsidP="00742C39">
            <w:pPr>
              <w:spacing w:after="0" w:line="240" w:lineRule="auto"/>
              <w:rPr>
                <w:rFonts w:ascii="Calibri" w:eastAsia="Times New Roman" w:hAnsi="Calibri" w:cs="Calibri"/>
                <w:sz w:val="20"/>
                <w:szCs w:val="20"/>
              </w:rPr>
            </w:pPr>
            <w:r w:rsidRPr="00742C39">
              <w:rPr>
                <w:rFonts w:ascii="Calibri" w:eastAsia="Times New Roman" w:hAnsi="Calibri" w:cs="Calibri"/>
                <w:sz w:val="20"/>
                <w:szCs w:val="20"/>
              </w:rPr>
              <w:t>Montana</w:t>
            </w:r>
            <w:r w:rsidRPr="00742C39">
              <w:rPr>
                <w:rFonts w:ascii="Calibri" w:eastAsia="Times New Roman" w:hAnsi="Calibri" w:cs="Calibri"/>
                <w:sz w:val="20"/>
                <w:szCs w:val="20"/>
              </w:rPr>
              <w:br/>
              <w:t>(2002-2008)</w:t>
            </w:r>
          </w:p>
        </w:tc>
        <w:tc>
          <w:tcPr>
            <w:tcW w:w="1063" w:type="dxa"/>
            <w:tcBorders>
              <w:top w:val="nil"/>
              <w:left w:val="nil"/>
              <w:bottom w:val="single" w:sz="4" w:space="0" w:color="auto"/>
              <w:right w:val="single" w:sz="8" w:space="0" w:color="auto"/>
            </w:tcBorders>
            <w:shd w:val="clear" w:color="auto" w:fill="auto"/>
            <w:noWrap/>
            <w:vAlign w:val="bottom"/>
            <w:hideMark/>
          </w:tcPr>
          <w:p w:rsidR="00742C39" w:rsidRPr="00742C39" w:rsidRDefault="00742C39" w:rsidP="00742C39">
            <w:pPr>
              <w:spacing w:after="0" w:line="240" w:lineRule="auto"/>
              <w:rPr>
                <w:rFonts w:ascii="Calibri" w:eastAsia="Times New Roman" w:hAnsi="Calibri" w:cs="Calibri"/>
                <w:sz w:val="20"/>
                <w:szCs w:val="20"/>
              </w:rPr>
            </w:pPr>
            <w:r w:rsidRPr="00742C39">
              <w:rPr>
                <w:rFonts w:ascii="Calibri" w:eastAsia="Times New Roman" w:hAnsi="Calibri" w:cs="Calibri"/>
                <w:sz w:val="20"/>
                <w:szCs w:val="20"/>
              </w:rPr>
              <w:t>Metro</w:t>
            </w:r>
          </w:p>
        </w:tc>
        <w:tc>
          <w:tcPr>
            <w:tcW w:w="1016"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2.7%</w:t>
            </w:r>
          </w:p>
        </w:tc>
        <w:tc>
          <w:tcPr>
            <w:tcW w:w="964"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5.7%</w:t>
            </w:r>
          </w:p>
        </w:tc>
        <w:tc>
          <w:tcPr>
            <w:tcW w:w="90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5.2%</w:t>
            </w:r>
          </w:p>
        </w:tc>
        <w:tc>
          <w:tcPr>
            <w:tcW w:w="990" w:type="dxa"/>
            <w:gridSpan w:val="2"/>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2.1%</w:t>
            </w:r>
          </w:p>
        </w:tc>
        <w:tc>
          <w:tcPr>
            <w:tcW w:w="108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0.8%</w:t>
            </w:r>
          </w:p>
        </w:tc>
        <w:tc>
          <w:tcPr>
            <w:tcW w:w="90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3.6%</w:t>
            </w:r>
          </w:p>
        </w:tc>
        <w:tc>
          <w:tcPr>
            <w:tcW w:w="270" w:type="dxa"/>
            <w:tcBorders>
              <w:top w:val="nil"/>
              <w:left w:val="nil"/>
              <w:bottom w:val="nil"/>
              <w:right w:val="single" w:sz="4" w:space="0" w:color="auto"/>
            </w:tcBorders>
            <w:shd w:val="clear" w:color="auto" w:fill="auto"/>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 xml:space="preserve"> </w:t>
            </w:r>
          </w:p>
        </w:tc>
        <w:tc>
          <w:tcPr>
            <w:tcW w:w="99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-0.5%</w:t>
            </w:r>
          </w:p>
        </w:tc>
        <w:tc>
          <w:tcPr>
            <w:tcW w:w="99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8.7%</w:t>
            </w:r>
          </w:p>
        </w:tc>
      </w:tr>
      <w:tr w:rsidR="00742C39" w:rsidRPr="00742C39" w:rsidTr="00742C39">
        <w:trPr>
          <w:trHeight w:val="300"/>
        </w:trPr>
        <w:tc>
          <w:tcPr>
            <w:tcW w:w="1277" w:type="dxa"/>
            <w:vMerge/>
            <w:tcBorders>
              <w:top w:val="nil"/>
              <w:left w:val="single" w:sz="8" w:space="0" w:color="auto"/>
              <w:bottom w:val="nil"/>
              <w:right w:val="single" w:sz="8" w:space="0" w:color="auto"/>
            </w:tcBorders>
            <w:vAlign w:val="center"/>
            <w:hideMark/>
          </w:tcPr>
          <w:p w:rsidR="00742C39" w:rsidRPr="00742C39" w:rsidRDefault="00742C39" w:rsidP="00742C39">
            <w:pPr>
              <w:spacing w:after="0" w:line="240" w:lineRule="auto"/>
              <w:rPr>
                <w:rFonts w:ascii="Calibri" w:eastAsia="Times New Roman" w:hAnsi="Calibri" w:cs="Calibri"/>
                <w:sz w:val="20"/>
                <w:szCs w:val="20"/>
              </w:rPr>
            </w:pPr>
          </w:p>
        </w:tc>
        <w:tc>
          <w:tcPr>
            <w:tcW w:w="1063" w:type="dxa"/>
            <w:tcBorders>
              <w:top w:val="single" w:sz="4" w:space="0" w:color="auto"/>
              <w:left w:val="nil"/>
              <w:bottom w:val="single" w:sz="4" w:space="0" w:color="auto"/>
              <w:right w:val="single" w:sz="8" w:space="0" w:color="auto"/>
            </w:tcBorders>
            <w:shd w:val="clear" w:color="000000" w:fill="BFBFBF"/>
            <w:noWrap/>
            <w:vAlign w:val="bottom"/>
            <w:hideMark/>
          </w:tcPr>
          <w:p w:rsidR="00742C39" w:rsidRPr="00742C39" w:rsidRDefault="00742C39" w:rsidP="00742C39">
            <w:pPr>
              <w:spacing w:after="0" w:line="240" w:lineRule="auto"/>
              <w:rPr>
                <w:rFonts w:ascii="Calibri" w:eastAsia="Times New Roman" w:hAnsi="Calibri" w:cs="Calibri"/>
                <w:sz w:val="20"/>
                <w:szCs w:val="20"/>
              </w:rPr>
            </w:pPr>
            <w:r w:rsidRPr="00742C39">
              <w:rPr>
                <w:rFonts w:ascii="Calibri" w:eastAsia="Times New Roman" w:hAnsi="Calibri" w:cs="Calibri"/>
                <w:sz w:val="20"/>
                <w:szCs w:val="20"/>
              </w:rPr>
              <w:t>Non-metro</w:t>
            </w:r>
          </w:p>
        </w:tc>
        <w:tc>
          <w:tcPr>
            <w:tcW w:w="1016"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4.3%</w:t>
            </w:r>
          </w:p>
        </w:tc>
        <w:tc>
          <w:tcPr>
            <w:tcW w:w="964"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4.5%</w:t>
            </w:r>
          </w:p>
        </w:tc>
        <w:tc>
          <w:tcPr>
            <w:tcW w:w="90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4.7%</w:t>
            </w:r>
          </w:p>
        </w:tc>
        <w:tc>
          <w:tcPr>
            <w:tcW w:w="990" w:type="dxa"/>
            <w:gridSpan w:val="2"/>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3.7%</w:t>
            </w:r>
          </w:p>
        </w:tc>
        <w:tc>
          <w:tcPr>
            <w:tcW w:w="108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0.8%</w:t>
            </w:r>
          </w:p>
        </w:tc>
        <w:tc>
          <w:tcPr>
            <w:tcW w:w="90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3.7%</w:t>
            </w:r>
          </w:p>
        </w:tc>
        <w:tc>
          <w:tcPr>
            <w:tcW w:w="270" w:type="dxa"/>
            <w:tcBorders>
              <w:top w:val="nil"/>
              <w:left w:val="nil"/>
              <w:bottom w:val="single" w:sz="4" w:space="0" w:color="auto"/>
              <w:right w:val="single" w:sz="4" w:space="0" w:color="auto"/>
            </w:tcBorders>
            <w:shd w:val="clear" w:color="auto" w:fill="auto"/>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 xml:space="preserve"> </w:t>
            </w:r>
          </w:p>
        </w:tc>
        <w:tc>
          <w:tcPr>
            <w:tcW w:w="99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-0.7%</w:t>
            </w:r>
          </w:p>
        </w:tc>
        <w:tc>
          <w:tcPr>
            <w:tcW w:w="99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11.2%</w:t>
            </w:r>
          </w:p>
        </w:tc>
      </w:tr>
      <w:tr w:rsidR="00742C39" w:rsidRPr="00742C39" w:rsidTr="00742C39">
        <w:trPr>
          <w:trHeight w:val="300"/>
        </w:trPr>
        <w:tc>
          <w:tcPr>
            <w:tcW w:w="1277" w:type="dxa"/>
            <w:vMerge w:val="restart"/>
            <w:tcBorders>
              <w:top w:val="nil"/>
              <w:left w:val="single" w:sz="8" w:space="0" w:color="auto"/>
              <w:bottom w:val="nil"/>
              <w:right w:val="single" w:sz="8" w:space="0" w:color="auto"/>
            </w:tcBorders>
            <w:shd w:val="clear" w:color="000000" w:fill="FFFFFF"/>
            <w:vAlign w:val="center"/>
            <w:hideMark/>
          </w:tcPr>
          <w:p w:rsidR="00742C39" w:rsidRPr="00742C39" w:rsidRDefault="00742C39" w:rsidP="00742C39">
            <w:pPr>
              <w:spacing w:after="0" w:line="240" w:lineRule="auto"/>
              <w:rPr>
                <w:rFonts w:ascii="Calibri" w:eastAsia="Times New Roman" w:hAnsi="Calibri" w:cs="Calibri"/>
                <w:sz w:val="20"/>
                <w:szCs w:val="20"/>
              </w:rPr>
            </w:pPr>
            <w:r w:rsidRPr="00742C39">
              <w:rPr>
                <w:rFonts w:ascii="Calibri" w:eastAsia="Times New Roman" w:hAnsi="Calibri" w:cs="Calibri"/>
                <w:sz w:val="20"/>
                <w:szCs w:val="20"/>
              </w:rPr>
              <w:t>New York</w:t>
            </w:r>
            <w:r w:rsidRPr="00742C39">
              <w:rPr>
                <w:rFonts w:ascii="Calibri" w:eastAsia="Times New Roman" w:hAnsi="Calibri" w:cs="Calibri"/>
                <w:sz w:val="20"/>
                <w:szCs w:val="20"/>
              </w:rPr>
              <w:br/>
              <w:t>(2000-2010)</w:t>
            </w:r>
          </w:p>
        </w:tc>
        <w:tc>
          <w:tcPr>
            <w:tcW w:w="1063" w:type="dxa"/>
            <w:tcBorders>
              <w:top w:val="nil"/>
              <w:left w:val="nil"/>
              <w:bottom w:val="single" w:sz="4" w:space="0" w:color="auto"/>
              <w:right w:val="single" w:sz="8" w:space="0" w:color="auto"/>
            </w:tcBorders>
            <w:shd w:val="clear" w:color="auto" w:fill="auto"/>
            <w:noWrap/>
            <w:vAlign w:val="bottom"/>
            <w:hideMark/>
          </w:tcPr>
          <w:p w:rsidR="00742C39" w:rsidRPr="00742C39" w:rsidRDefault="00742C39" w:rsidP="00742C39">
            <w:pPr>
              <w:spacing w:after="0" w:line="240" w:lineRule="auto"/>
              <w:rPr>
                <w:rFonts w:ascii="Calibri" w:eastAsia="Times New Roman" w:hAnsi="Calibri" w:cs="Calibri"/>
                <w:sz w:val="20"/>
                <w:szCs w:val="20"/>
              </w:rPr>
            </w:pPr>
            <w:r w:rsidRPr="00742C39">
              <w:rPr>
                <w:rFonts w:ascii="Calibri" w:eastAsia="Times New Roman" w:hAnsi="Calibri" w:cs="Calibri"/>
                <w:sz w:val="20"/>
                <w:szCs w:val="20"/>
              </w:rPr>
              <w:t>Metro</w:t>
            </w:r>
          </w:p>
        </w:tc>
        <w:tc>
          <w:tcPr>
            <w:tcW w:w="1016"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3.8%</w:t>
            </w:r>
          </w:p>
        </w:tc>
        <w:tc>
          <w:tcPr>
            <w:tcW w:w="964"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4.6%</w:t>
            </w:r>
          </w:p>
        </w:tc>
        <w:tc>
          <w:tcPr>
            <w:tcW w:w="90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4.5%</w:t>
            </w:r>
          </w:p>
        </w:tc>
        <w:tc>
          <w:tcPr>
            <w:tcW w:w="990" w:type="dxa"/>
            <w:gridSpan w:val="2"/>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4.1%</w:t>
            </w:r>
          </w:p>
        </w:tc>
        <w:tc>
          <w:tcPr>
            <w:tcW w:w="108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4.7%</w:t>
            </w:r>
          </w:p>
        </w:tc>
        <w:tc>
          <w:tcPr>
            <w:tcW w:w="90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4.2%</w:t>
            </w:r>
          </w:p>
        </w:tc>
        <w:tc>
          <w:tcPr>
            <w:tcW w:w="270" w:type="dxa"/>
            <w:tcBorders>
              <w:top w:val="nil"/>
              <w:left w:val="nil"/>
              <w:bottom w:val="nil"/>
              <w:right w:val="single" w:sz="4" w:space="0" w:color="auto"/>
            </w:tcBorders>
            <w:shd w:val="clear" w:color="auto" w:fill="auto"/>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 xml:space="preserve"> </w:t>
            </w:r>
          </w:p>
        </w:tc>
        <w:tc>
          <w:tcPr>
            <w:tcW w:w="99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3.4%</w:t>
            </w:r>
          </w:p>
        </w:tc>
        <w:tc>
          <w:tcPr>
            <w:tcW w:w="99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10.3%</w:t>
            </w:r>
          </w:p>
        </w:tc>
      </w:tr>
      <w:tr w:rsidR="00742C39" w:rsidRPr="00742C39" w:rsidTr="00742C39">
        <w:trPr>
          <w:trHeight w:val="300"/>
        </w:trPr>
        <w:tc>
          <w:tcPr>
            <w:tcW w:w="1277" w:type="dxa"/>
            <w:vMerge/>
            <w:tcBorders>
              <w:top w:val="nil"/>
              <w:left w:val="single" w:sz="8" w:space="0" w:color="auto"/>
              <w:bottom w:val="nil"/>
              <w:right w:val="single" w:sz="8" w:space="0" w:color="auto"/>
            </w:tcBorders>
            <w:vAlign w:val="center"/>
            <w:hideMark/>
          </w:tcPr>
          <w:p w:rsidR="00742C39" w:rsidRPr="00742C39" w:rsidRDefault="00742C39" w:rsidP="00742C39">
            <w:pPr>
              <w:spacing w:after="0" w:line="240" w:lineRule="auto"/>
              <w:rPr>
                <w:rFonts w:ascii="Calibri" w:eastAsia="Times New Roman" w:hAnsi="Calibri" w:cs="Calibri"/>
                <w:sz w:val="20"/>
                <w:szCs w:val="20"/>
              </w:rPr>
            </w:pPr>
          </w:p>
        </w:tc>
        <w:tc>
          <w:tcPr>
            <w:tcW w:w="1063" w:type="dxa"/>
            <w:tcBorders>
              <w:top w:val="single" w:sz="4" w:space="0" w:color="auto"/>
              <w:left w:val="nil"/>
              <w:bottom w:val="single" w:sz="4" w:space="0" w:color="auto"/>
              <w:right w:val="single" w:sz="8" w:space="0" w:color="auto"/>
            </w:tcBorders>
            <w:shd w:val="clear" w:color="000000" w:fill="BFBFBF"/>
            <w:noWrap/>
            <w:vAlign w:val="bottom"/>
            <w:hideMark/>
          </w:tcPr>
          <w:p w:rsidR="00742C39" w:rsidRPr="00742C39" w:rsidRDefault="00742C39" w:rsidP="00742C39">
            <w:pPr>
              <w:spacing w:after="0" w:line="240" w:lineRule="auto"/>
              <w:rPr>
                <w:rFonts w:ascii="Calibri" w:eastAsia="Times New Roman" w:hAnsi="Calibri" w:cs="Calibri"/>
                <w:sz w:val="20"/>
                <w:szCs w:val="20"/>
              </w:rPr>
            </w:pPr>
            <w:r w:rsidRPr="00742C39">
              <w:rPr>
                <w:rFonts w:ascii="Calibri" w:eastAsia="Times New Roman" w:hAnsi="Calibri" w:cs="Calibri"/>
                <w:sz w:val="20"/>
                <w:szCs w:val="20"/>
              </w:rPr>
              <w:t>Non-metro</w:t>
            </w:r>
          </w:p>
        </w:tc>
        <w:tc>
          <w:tcPr>
            <w:tcW w:w="1016"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4.8%</w:t>
            </w:r>
          </w:p>
        </w:tc>
        <w:tc>
          <w:tcPr>
            <w:tcW w:w="964"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5.0%</w:t>
            </w:r>
          </w:p>
        </w:tc>
        <w:tc>
          <w:tcPr>
            <w:tcW w:w="90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4.5%</w:t>
            </w:r>
          </w:p>
        </w:tc>
        <w:tc>
          <w:tcPr>
            <w:tcW w:w="990" w:type="dxa"/>
            <w:gridSpan w:val="2"/>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4.0%</w:t>
            </w:r>
          </w:p>
        </w:tc>
        <w:tc>
          <w:tcPr>
            <w:tcW w:w="108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4.6%</w:t>
            </w:r>
          </w:p>
        </w:tc>
        <w:tc>
          <w:tcPr>
            <w:tcW w:w="90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4.6%</w:t>
            </w:r>
          </w:p>
        </w:tc>
        <w:tc>
          <w:tcPr>
            <w:tcW w:w="270" w:type="dxa"/>
            <w:tcBorders>
              <w:top w:val="nil"/>
              <w:left w:val="nil"/>
              <w:bottom w:val="single" w:sz="4" w:space="0" w:color="auto"/>
              <w:right w:val="single" w:sz="4" w:space="0" w:color="auto"/>
            </w:tcBorders>
            <w:shd w:val="clear" w:color="auto" w:fill="auto"/>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 xml:space="preserve"> </w:t>
            </w:r>
          </w:p>
        </w:tc>
        <w:tc>
          <w:tcPr>
            <w:tcW w:w="99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4.1%</w:t>
            </w:r>
          </w:p>
        </w:tc>
        <w:tc>
          <w:tcPr>
            <w:tcW w:w="99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10.3%</w:t>
            </w:r>
          </w:p>
        </w:tc>
      </w:tr>
      <w:tr w:rsidR="00742C39" w:rsidRPr="00742C39" w:rsidTr="00742C39">
        <w:trPr>
          <w:trHeight w:val="300"/>
        </w:trPr>
        <w:tc>
          <w:tcPr>
            <w:tcW w:w="1277" w:type="dxa"/>
            <w:vMerge w:val="restart"/>
            <w:tcBorders>
              <w:top w:val="nil"/>
              <w:left w:val="single" w:sz="8" w:space="0" w:color="auto"/>
              <w:bottom w:val="nil"/>
              <w:right w:val="single" w:sz="8" w:space="0" w:color="auto"/>
            </w:tcBorders>
            <w:shd w:val="clear" w:color="000000" w:fill="FFFFFF"/>
            <w:vAlign w:val="center"/>
            <w:hideMark/>
          </w:tcPr>
          <w:p w:rsidR="00742C39" w:rsidRPr="00742C39" w:rsidRDefault="00742C39" w:rsidP="00742C39">
            <w:pPr>
              <w:spacing w:after="0" w:line="240" w:lineRule="auto"/>
              <w:rPr>
                <w:rFonts w:ascii="Calibri" w:eastAsia="Times New Roman" w:hAnsi="Calibri" w:cs="Calibri"/>
                <w:sz w:val="20"/>
                <w:szCs w:val="20"/>
              </w:rPr>
            </w:pPr>
            <w:r w:rsidRPr="00742C39">
              <w:rPr>
                <w:rFonts w:ascii="Calibri" w:eastAsia="Times New Roman" w:hAnsi="Calibri" w:cs="Calibri"/>
                <w:sz w:val="20"/>
                <w:szCs w:val="20"/>
              </w:rPr>
              <w:t>Oklahoma</w:t>
            </w:r>
            <w:r w:rsidRPr="00742C39">
              <w:rPr>
                <w:rFonts w:ascii="Calibri" w:eastAsia="Times New Roman" w:hAnsi="Calibri" w:cs="Calibri"/>
                <w:sz w:val="20"/>
                <w:szCs w:val="20"/>
              </w:rPr>
              <w:br/>
              <w:t>(2002-2009)</w:t>
            </w:r>
          </w:p>
        </w:tc>
        <w:tc>
          <w:tcPr>
            <w:tcW w:w="1063" w:type="dxa"/>
            <w:tcBorders>
              <w:top w:val="nil"/>
              <w:left w:val="nil"/>
              <w:bottom w:val="single" w:sz="4" w:space="0" w:color="auto"/>
              <w:right w:val="single" w:sz="8" w:space="0" w:color="auto"/>
            </w:tcBorders>
            <w:shd w:val="clear" w:color="auto" w:fill="auto"/>
            <w:noWrap/>
            <w:vAlign w:val="bottom"/>
            <w:hideMark/>
          </w:tcPr>
          <w:p w:rsidR="00742C39" w:rsidRPr="00742C39" w:rsidRDefault="00742C39" w:rsidP="00742C39">
            <w:pPr>
              <w:spacing w:after="0" w:line="240" w:lineRule="auto"/>
              <w:rPr>
                <w:rFonts w:ascii="Calibri" w:eastAsia="Times New Roman" w:hAnsi="Calibri" w:cs="Calibri"/>
                <w:sz w:val="20"/>
                <w:szCs w:val="20"/>
              </w:rPr>
            </w:pPr>
            <w:r w:rsidRPr="00742C39">
              <w:rPr>
                <w:rFonts w:ascii="Calibri" w:eastAsia="Times New Roman" w:hAnsi="Calibri" w:cs="Calibri"/>
                <w:sz w:val="20"/>
                <w:szCs w:val="20"/>
              </w:rPr>
              <w:t>Metro</w:t>
            </w:r>
          </w:p>
        </w:tc>
        <w:tc>
          <w:tcPr>
            <w:tcW w:w="1016"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1.4%</w:t>
            </w:r>
          </w:p>
        </w:tc>
        <w:tc>
          <w:tcPr>
            <w:tcW w:w="964"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3.2%</w:t>
            </w:r>
          </w:p>
        </w:tc>
        <w:tc>
          <w:tcPr>
            <w:tcW w:w="90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2.7%</w:t>
            </w:r>
          </w:p>
        </w:tc>
        <w:tc>
          <w:tcPr>
            <w:tcW w:w="990" w:type="dxa"/>
            <w:gridSpan w:val="2"/>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2.1%</w:t>
            </w:r>
          </w:p>
        </w:tc>
        <w:tc>
          <w:tcPr>
            <w:tcW w:w="108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4.9%</w:t>
            </w:r>
          </w:p>
        </w:tc>
        <w:tc>
          <w:tcPr>
            <w:tcW w:w="90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2.7%</w:t>
            </w:r>
          </w:p>
        </w:tc>
        <w:tc>
          <w:tcPr>
            <w:tcW w:w="270" w:type="dxa"/>
            <w:tcBorders>
              <w:top w:val="nil"/>
              <w:left w:val="nil"/>
              <w:bottom w:val="nil"/>
              <w:right w:val="single" w:sz="4" w:space="0" w:color="auto"/>
            </w:tcBorders>
            <w:shd w:val="clear" w:color="auto" w:fill="auto"/>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 xml:space="preserve"> </w:t>
            </w:r>
          </w:p>
        </w:tc>
        <w:tc>
          <w:tcPr>
            <w:tcW w:w="99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-2.4%</w:t>
            </w:r>
          </w:p>
        </w:tc>
        <w:tc>
          <w:tcPr>
            <w:tcW w:w="99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13.3%</w:t>
            </w:r>
          </w:p>
        </w:tc>
      </w:tr>
      <w:tr w:rsidR="00742C39" w:rsidRPr="00742C39" w:rsidTr="00742C39">
        <w:trPr>
          <w:trHeight w:val="300"/>
        </w:trPr>
        <w:tc>
          <w:tcPr>
            <w:tcW w:w="1277" w:type="dxa"/>
            <w:vMerge/>
            <w:tcBorders>
              <w:top w:val="nil"/>
              <w:left w:val="single" w:sz="8" w:space="0" w:color="auto"/>
              <w:bottom w:val="nil"/>
              <w:right w:val="single" w:sz="8" w:space="0" w:color="auto"/>
            </w:tcBorders>
            <w:vAlign w:val="center"/>
            <w:hideMark/>
          </w:tcPr>
          <w:p w:rsidR="00742C39" w:rsidRPr="00742C39" w:rsidRDefault="00742C39" w:rsidP="00742C39">
            <w:pPr>
              <w:spacing w:after="0" w:line="240" w:lineRule="auto"/>
              <w:rPr>
                <w:rFonts w:ascii="Calibri" w:eastAsia="Times New Roman" w:hAnsi="Calibri" w:cs="Calibri"/>
                <w:sz w:val="20"/>
                <w:szCs w:val="20"/>
              </w:rPr>
            </w:pPr>
          </w:p>
        </w:tc>
        <w:tc>
          <w:tcPr>
            <w:tcW w:w="1063" w:type="dxa"/>
            <w:tcBorders>
              <w:top w:val="single" w:sz="4" w:space="0" w:color="auto"/>
              <w:left w:val="nil"/>
              <w:bottom w:val="single" w:sz="4" w:space="0" w:color="auto"/>
              <w:right w:val="single" w:sz="8" w:space="0" w:color="auto"/>
            </w:tcBorders>
            <w:shd w:val="clear" w:color="000000" w:fill="BFBFBF"/>
            <w:noWrap/>
            <w:vAlign w:val="bottom"/>
            <w:hideMark/>
          </w:tcPr>
          <w:p w:rsidR="00742C39" w:rsidRPr="00742C39" w:rsidRDefault="00742C39" w:rsidP="00742C39">
            <w:pPr>
              <w:spacing w:after="0" w:line="240" w:lineRule="auto"/>
              <w:rPr>
                <w:rFonts w:ascii="Calibri" w:eastAsia="Times New Roman" w:hAnsi="Calibri" w:cs="Calibri"/>
                <w:sz w:val="20"/>
                <w:szCs w:val="20"/>
              </w:rPr>
            </w:pPr>
            <w:r w:rsidRPr="00742C39">
              <w:rPr>
                <w:rFonts w:ascii="Calibri" w:eastAsia="Times New Roman" w:hAnsi="Calibri" w:cs="Calibri"/>
                <w:sz w:val="20"/>
                <w:szCs w:val="20"/>
              </w:rPr>
              <w:t>Non-metro</w:t>
            </w:r>
          </w:p>
        </w:tc>
        <w:tc>
          <w:tcPr>
            <w:tcW w:w="1016"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5.4%</w:t>
            </w:r>
          </w:p>
        </w:tc>
        <w:tc>
          <w:tcPr>
            <w:tcW w:w="964"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3.2%</w:t>
            </w:r>
          </w:p>
        </w:tc>
        <w:tc>
          <w:tcPr>
            <w:tcW w:w="90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2.8%</w:t>
            </w:r>
          </w:p>
        </w:tc>
        <w:tc>
          <w:tcPr>
            <w:tcW w:w="990" w:type="dxa"/>
            <w:gridSpan w:val="2"/>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3.0%</w:t>
            </w:r>
          </w:p>
        </w:tc>
        <w:tc>
          <w:tcPr>
            <w:tcW w:w="108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5.2%</w:t>
            </w:r>
          </w:p>
        </w:tc>
        <w:tc>
          <w:tcPr>
            <w:tcW w:w="90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4.0%</w:t>
            </w:r>
          </w:p>
        </w:tc>
        <w:tc>
          <w:tcPr>
            <w:tcW w:w="270" w:type="dxa"/>
            <w:tcBorders>
              <w:top w:val="nil"/>
              <w:left w:val="nil"/>
              <w:bottom w:val="single" w:sz="4" w:space="0" w:color="auto"/>
              <w:right w:val="single" w:sz="4" w:space="0" w:color="auto"/>
            </w:tcBorders>
            <w:shd w:val="clear" w:color="auto" w:fill="auto"/>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 xml:space="preserve"> </w:t>
            </w:r>
          </w:p>
        </w:tc>
        <w:tc>
          <w:tcPr>
            <w:tcW w:w="99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-0.7%</w:t>
            </w:r>
          </w:p>
        </w:tc>
        <w:tc>
          <w:tcPr>
            <w:tcW w:w="99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12.7%</w:t>
            </w:r>
          </w:p>
        </w:tc>
      </w:tr>
      <w:tr w:rsidR="00742C39" w:rsidRPr="00742C39" w:rsidTr="00742C39">
        <w:trPr>
          <w:trHeight w:val="300"/>
        </w:trPr>
        <w:tc>
          <w:tcPr>
            <w:tcW w:w="1277" w:type="dxa"/>
            <w:vMerge w:val="restart"/>
            <w:tcBorders>
              <w:top w:val="nil"/>
              <w:left w:val="single" w:sz="4" w:space="0" w:color="auto"/>
              <w:bottom w:val="nil"/>
              <w:right w:val="single" w:sz="8" w:space="0" w:color="auto"/>
            </w:tcBorders>
            <w:shd w:val="clear" w:color="000000" w:fill="FFFFFF"/>
            <w:vAlign w:val="center"/>
            <w:hideMark/>
          </w:tcPr>
          <w:p w:rsidR="00742C39" w:rsidRPr="00742C39" w:rsidRDefault="00742C39" w:rsidP="00742C39">
            <w:pPr>
              <w:spacing w:after="0" w:line="240" w:lineRule="auto"/>
              <w:rPr>
                <w:rFonts w:ascii="Calibri" w:eastAsia="Times New Roman" w:hAnsi="Calibri" w:cs="Calibri"/>
                <w:sz w:val="20"/>
                <w:szCs w:val="20"/>
              </w:rPr>
            </w:pPr>
            <w:r w:rsidRPr="00742C39">
              <w:rPr>
                <w:rFonts w:ascii="Calibri" w:eastAsia="Times New Roman" w:hAnsi="Calibri" w:cs="Calibri"/>
                <w:sz w:val="20"/>
                <w:szCs w:val="20"/>
              </w:rPr>
              <w:t>Pennsylvania</w:t>
            </w:r>
            <w:r w:rsidRPr="00742C39">
              <w:rPr>
                <w:rFonts w:ascii="Calibri" w:eastAsia="Times New Roman" w:hAnsi="Calibri" w:cs="Calibri"/>
                <w:sz w:val="20"/>
                <w:szCs w:val="20"/>
              </w:rPr>
              <w:br/>
              <w:t>(2008-2010)</w:t>
            </w:r>
          </w:p>
        </w:tc>
        <w:tc>
          <w:tcPr>
            <w:tcW w:w="1063" w:type="dxa"/>
            <w:tcBorders>
              <w:top w:val="nil"/>
              <w:left w:val="nil"/>
              <w:bottom w:val="single" w:sz="4" w:space="0" w:color="auto"/>
              <w:right w:val="single" w:sz="8" w:space="0" w:color="auto"/>
            </w:tcBorders>
            <w:shd w:val="clear" w:color="auto" w:fill="auto"/>
            <w:noWrap/>
            <w:vAlign w:val="bottom"/>
            <w:hideMark/>
          </w:tcPr>
          <w:p w:rsidR="00742C39" w:rsidRPr="00742C39" w:rsidRDefault="00742C39" w:rsidP="00742C39">
            <w:pPr>
              <w:spacing w:after="0" w:line="240" w:lineRule="auto"/>
              <w:rPr>
                <w:rFonts w:ascii="Calibri" w:eastAsia="Times New Roman" w:hAnsi="Calibri" w:cs="Calibri"/>
                <w:sz w:val="20"/>
                <w:szCs w:val="20"/>
              </w:rPr>
            </w:pPr>
            <w:r w:rsidRPr="00742C39">
              <w:rPr>
                <w:rFonts w:ascii="Calibri" w:eastAsia="Times New Roman" w:hAnsi="Calibri" w:cs="Calibri"/>
                <w:sz w:val="20"/>
                <w:szCs w:val="20"/>
              </w:rPr>
              <w:t>Metro</w:t>
            </w:r>
          </w:p>
        </w:tc>
        <w:tc>
          <w:tcPr>
            <w:tcW w:w="1016"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3.0%</w:t>
            </w:r>
          </w:p>
        </w:tc>
        <w:tc>
          <w:tcPr>
            <w:tcW w:w="964"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3.0%</w:t>
            </w:r>
          </w:p>
        </w:tc>
        <w:tc>
          <w:tcPr>
            <w:tcW w:w="90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4.1%</w:t>
            </w:r>
          </w:p>
        </w:tc>
        <w:tc>
          <w:tcPr>
            <w:tcW w:w="990" w:type="dxa"/>
            <w:gridSpan w:val="2"/>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4.7%</w:t>
            </w:r>
          </w:p>
        </w:tc>
        <w:tc>
          <w:tcPr>
            <w:tcW w:w="108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8.7%</w:t>
            </w:r>
          </w:p>
        </w:tc>
        <w:tc>
          <w:tcPr>
            <w:tcW w:w="90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4.3%</w:t>
            </w:r>
          </w:p>
        </w:tc>
        <w:tc>
          <w:tcPr>
            <w:tcW w:w="270" w:type="dxa"/>
            <w:tcBorders>
              <w:top w:val="nil"/>
              <w:left w:val="nil"/>
              <w:bottom w:val="nil"/>
              <w:right w:val="single" w:sz="4" w:space="0" w:color="auto"/>
            </w:tcBorders>
            <w:shd w:val="clear" w:color="auto" w:fill="auto"/>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 xml:space="preserve"> </w:t>
            </w:r>
          </w:p>
        </w:tc>
        <w:tc>
          <w:tcPr>
            <w:tcW w:w="99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4.3%</w:t>
            </w:r>
          </w:p>
        </w:tc>
        <w:tc>
          <w:tcPr>
            <w:tcW w:w="990" w:type="dxa"/>
            <w:tcBorders>
              <w:top w:val="nil"/>
              <w:left w:val="nil"/>
              <w:bottom w:val="nil"/>
              <w:right w:val="single" w:sz="4" w:space="0" w:color="auto"/>
            </w:tcBorders>
            <w:shd w:val="clear" w:color="000000" w:fill="FFFFF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9.5%</w:t>
            </w:r>
          </w:p>
        </w:tc>
      </w:tr>
      <w:tr w:rsidR="00742C39" w:rsidRPr="00742C39" w:rsidTr="00742C39">
        <w:trPr>
          <w:trHeight w:val="300"/>
        </w:trPr>
        <w:tc>
          <w:tcPr>
            <w:tcW w:w="1277" w:type="dxa"/>
            <w:vMerge/>
            <w:tcBorders>
              <w:top w:val="nil"/>
              <w:left w:val="single" w:sz="4" w:space="0" w:color="auto"/>
              <w:bottom w:val="nil"/>
              <w:right w:val="single" w:sz="8" w:space="0" w:color="auto"/>
            </w:tcBorders>
            <w:vAlign w:val="center"/>
            <w:hideMark/>
          </w:tcPr>
          <w:p w:rsidR="00742C39" w:rsidRPr="00742C39" w:rsidRDefault="00742C39" w:rsidP="00742C39">
            <w:pPr>
              <w:spacing w:after="0" w:line="240" w:lineRule="auto"/>
              <w:rPr>
                <w:rFonts w:ascii="Calibri" w:eastAsia="Times New Roman" w:hAnsi="Calibri" w:cs="Calibri"/>
                <w:sz w:val="20"/>
                <w:szCs w:val="20"/>
              </w:rPr>
            </w:pPr>
          </w:p>
        </w:tc>
        <w:tc>
          <w:tcPr>
            <w:tcW w:w="1063" w:type="dxa"/>
            <w:tcBorders>
              <w:top w:val="single" w:sz="4" w:space="0" w:color="auto"/>
              <w:left w:val="nil"/>
              <w:bottom w:val="single" w:sz="4" w:space="0" w:color="auto"/>
              <w:right w:val="single" w:sz="8" w:space="0" w:color="auto"/>
            </w:tcBorders>
            <w:shd w:val="clear" w:color="000000" w:fill="BFBFBF"/>
            <w:noWrap/>
            <w:vAlign w:val="bottom"/>
            <w:hideMark/>
          </w:tcPr>
          <w:p w:rsidR="00742C39" w:rsidRPr="00742C39" w:rsidRDefault="00742C39" w:rsidP="00742C39">
            <w:pPr>
              <w:spacing w:after="0" w:line="240" w:lineRule="auto"/>
              <w:rPr>
                <w:rFonts w:ascii="Calibri" w:eastAsia="Times New Roman" w:hAnsi="Calibri" w:cs="Calibri"/>
                <w:sz w:val="20"/>
                <w:szCs w:val="20"/>
              </w:rPr>
            </w:pPr>
            <w:r w:rsidRPr="00742C39">
              <w:rPr>
                <w:rFonts w:ascii="Calibri" w:eastAsia="Times New Roman" w:hAnsi="Calibri" w:cs="Calibri"/>
                <w:sz w:val="20"/>
                <w:szCs w:val="20"/>
              </w:rPr>
              <w:t>Non-metro</w:t>
            </w:r>
          </w:p>
        </w:tc>
        <w:tc>
          <w:tcPr>
            <w:tcW w:w="1016"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3.0%</w:t>
            </w:r>
          </w:p>
        </w:tc>
        <w:tc>
          <w:tcPr>
            <w:tcW w:w="964"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4.0%</w:t>
            </w:r>
          </w:p>
        </w:tc>
        <w:tc>
          <w:tcPr>
            <w:tcW w:w="90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4.2%</w:t>
            </w:r>
          </w:p>
        </w:tc>
        <w:tc>
          <w:tcPr>
            <w:tcW w:w="990" w:type="dxa"/>
            <w:gridSpan w:val="2"/>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4.8%</w:t>
            </w:r>
          </w:p>
        </w:tc>
        <w:tc>
          <w:tcPr>
            <w:tcW w:w="108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9.2%</w:t>
            </w:r>
          </w:p>
        </w:tc>
        <w:tc>
          <w:tcPr>
            <w:tcW w:w="90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4.5%</w:t>
            </w:r>
          </w:p>
        </w:tc>
        <w:tc>
          <w:tcPr>
            <w:tcW w:w="270" w:type="dxa"/>
            <w:tcBorders>
              <w:top w:val="nil"/>
              <w:left w:val="nil"/>
              <w:bottom w:val="single" w:sz="4" w:space="0" w:color="auto"/>
              <w:right w:val="single" w:sz="4" w:space="0" w:color="auto"/>
            </w:tcBorders>
            <w:shd w:val="clear" w:color="auto" w:fill="auto"/>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 xml:space="preserve"> </w:t>
            </w:r>
          </w:p>
        </w:tc>
        <w:tc>
          <w:tcPr>
            <w:tcW w:w="99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5.1%</w:t>
            </w:r>
          </w:p>
        </w:tc>
        <w:tc>
          <w:tcPr>
            <w:tcW w:w="990" w:type="dxa"/>
            <w:tcBorders>
              <w:top w:val="nil"/>
              <w:left w:val="nil"/>
              <w:bottom w:val="single" w:sz="4" w:space="0" w:color="auto"/>
              <w:right w:val="single" w:sz="4" w:space="0" w:color="auto"/>
            </w:tcBorders>
            <w:shd w:val="clear" w:color="000000" w:fill="BFBFBF"/>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9.5%</w:t>
            </w:r>
          </w:p>
        </w:tc>
      </w:tr>
      <w:tr w:rsidR="00742C39" w:rsidRPr="00742C39" w:rsidTr="00742C39">
        <w:trPr>
          <w:trHeight w:val="255"/>
        </w:trPr>
        <w:tc>
          <w:tcPr>
            <w:tcW w:w="234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42C39" w:rsidRPr="00742C39" w:rsidRDefault="00742C39" w:rsidP="00742C39">
            <w:pPr>
              <w:spacing w:after="0" w:line="240" w:lineRule="auto"/>
              <w:rPr>
                <w:rFonts w:ascii="Calibri" w:eastAsia="Times New Roman" w:hAnsi="Calibri" w:cs="Calibri"/>
                <w:sz w:val="20"/>
                <w:szCs w:val="20"/>
              </w:rPr>
            </w:pPr>
            <w:r w:rsidRPr="00742C39">
              <w:rPr>
                <w:rFonts w:ascii="Calibri" w:eastAsia="Times New Roman" w:hAnsi="Calibri" w:cs="Calibri"/>
                <w:sz w:val="20"/>
                <w:szCs w:val="20"/>
              </w:rPr>
              <w:t>Average Metro</w:t>
            </w:r>
          </w:p>
        </w:tc>
        <w:tc>
          <w:tcPr>
            <w:tcW w:w="1016" w:type="dxa"/>
            <w:tcBorders>
              <w:top w:val="nil"/>
              <w:left w:val="nil"/>
              <w:bottom w:val="nil"/>
              <w:right w:val="nil"/>
            </w:tcBorders>
            <w:shd w:val="clear" w:color="auto" w:fill="auto"/>
            <w:noWrap/>
            <w:vAlign w:val="center"/>
            <w:hideMark/>
          </w:tcPr>
          <w:p w:rsidR="00742C39" w:rsidRPr="00742C39" w:rsidRDefault="00742C39" w:rsidP="00742C39">
            <w:pPr>
              <w:spacing w:after="0" w:line="240" w:lineRule="auto"/>
              <w:jc w:val="center"/>
              <w:rPr>
                <w:rFonts w:ascii="Calibri" w:eastAsia="Times New Roman" w:hAnsi="Calibri" w:cs="Calibri"/>
                <w:color w:val="000000"/>
                <w:sz w:val="20"/>
                <w:szCs w:val="20"/>
              </w:rPr>
            </w:pPr>
            <w:r w:rsidRPr="00742C39">
              <w:rPr>
                <w:rFonts w:ascii="Calibri" w:eastAsia="Times New Roman" w:hAnsi="Calibri" w:cs="Calibri"/>
                <w:color w:val="000000"/>
                <w:sz w:val="20"/>
                <w:szCs w:val="20"/>
              </w:rPr>
              <w:t>2.8%</w:t>
            </w:r>
          </w:p>
        </w:tc>
        <w:tc>
          <w:tcPr>
            <w:tcW w:w="964" w:type="dxa"/>
            <w:tcBorders>
              <w:top w:val="nil"/>
              <w:left w:val="nil"/>
              <w:bottom w:val="nil"/>
              <w:right w:val="nil"/>
            </w:tcBorders>
            <w:shd w:val="clear" w:color="auto" w:fill="auto"/>
            <w:noWrap/>
            <w:vAlign w:val="center"/>
            <w:hideMark/>
          </w:tcPr>
          <w:p w:rsidR="00742C39" w:rsidRPr="00742C39" w:rsidRDefault="00742C39" w:rsidP="00742C39">
            <w:pPr>
              <w:spacing w:after="0" w:line="240" w:lineRule="auto"/>
              <w:jc w:val="center"/>
              <w:rPr>
                <w:rFonts w:ascii="Calibri" w:eastAsia="Times New Roman" w:hAnsi="Calibri" w:cs="Calibri"/>
                <w:color w:val="000000"/>
                <w:sz w:val="20"/>
                <w:szCs w:val="20"/>
              </w:rPr>
            </w:pPr>
            <w:r w:rsidRPr="00742C39">
              <w:rPr>
                <w:rFonts w:ascii="Calibri" w:eastAsia="Times New Roman" w:hAnsi="Calibri" w:cs="Calibri"/>
                <w:color w:val="000000"/>
                <w:sz w:val="20"/>
                <w:szCs w:val="20"/>
              </w:rPr>
              <w:t>4.0%</w:t>
            </w:r>
          </w:p>
        </w:tc>
        <w:tc>
          <w:tcPr>
            <w:tcW w:w="900" w:type="dxa"/>
            <w:tcBorders>
              <w:top w:val="nil"/>
              <w:left w:val="nil"/>
              <w:bottom w:val="nil"/>
              <w:right w:val="nil"/>
            </w:tcBorders>
            <w:shd w:val="clear" w:color="auto" w:fill="auto"/>
            <w:noWrap/>
            <w:vAlign w:val="center"/>
            <w:hideMark/>
          </w:tcPr>
          <w:p w:rsidR="00742C39" w:rsidRPr="00742C39" w:rsidRDefault="00742C39" w:rsidP="00742C39">
            <w:pPr>
              <w:spacing w:after="0" w:line="240" w:lineRule="auto"/>
              <w:jc w:val="center"/>
              <w:rPr>
                <w:rFonts w:ascii="Calibri" w:eastAsia="Times New Roman" w:hAnsi="Calibri" w:cs="Calibri"/>
                <w:color w:val="000000"/>
                <w:sz w:val="20"/>
                <w:szCs w:val="20"/>
              </w:rPr>
            </w:pPr>
            <w:r w:rsidRPr="00742C39">
              <w:rPr>
                <w:rFonts w:ascii="Calibri" w:eastAsia="Times New Roman" w:hAnsi="Calibri" w:cs="Calibri"/>
                <w:color w:val="000000"/>
                <w:sz w:val="20"/>
                <w:szCs w:val="20"/>
              </w:rPr>
              <w:t>4.7%</w:t>
            </w:r>
          </w:p>
        </w:tc>
        <w:tc>
          <w:tcPr>
            <w:tcW w:w="990" w:type="dxa"/>
            <w:gridSpan w:val="2"/>
            <w:tcBorders>
              <w:top w:val="nil"/>
              <w:left w:val="nil"/>
              <w:bottom w:val="nil"/>
              <w:right w:val="nil"/>
            </w:tcBorders>
            <w:shd w:val="clear" w:color="auto" w:fill="auto"/>
            <w:noWrap/>
            <w:vAlign w:val="center"/>
            <w:hideMark/>
          </w:tcPr>
          <w:p w:rsidR="00742C39" w:rsidRPr="00742C39" w:rsidRDefault="00742C39" w:rsidP="00742C39">
            <w:pPr>
              <w:spacing w:after="0" w:line="240" w:lineRule="auto"/>
              <w:jc w:val="center"/>
              <w:rPr>
                <w:rFonts w:ascii="Calibri" w:eastAsia="Times New Roman" w:hAnsi="Calibri" w:cs="Calibri"/>
                <w:color w:val="000000"/>
                <w:sz w:val="20"/>
                <w:szCs w:val="20"/>
              </w:rPr>
            </w:pPr>
            <w:r w:rsidRPr="00742C39">
              <w:rPr>
                <w:rFonts w:ascii="Calibri" w:eastAsia="Times New Roman" w:hAnsi="Calibri" w:cs="Calibri"/>
                <w:color w:val="000000"/>
                <w:sz w:val="20"/>
                <w:szCs w:val="20"/>
              </w:rPr>
              <w:t>2.5%</w:t>
            </w:r>
          </w:p>
        </w:tc>
        <w:tc>
          <w:tcPr>
            <w:tcW w:w="1080" w:type="dxa"/>
            <w:tcBorders>
              <w:top w:val="nil"/>
              <w:left w:val="nil"/>
              <w:bottom w:val="nil"/>
              <w:right w:val="nil"/>
            </w:tcBorders>
            <w:shd w:val="clear" w:color="auto" w:fill="auto"/>
            <w:noWrap/>
            <w:vAlign w:val="center"/>
            <w:hideMark/>
          </w:tcPr>
          <w:p w:rsidR="00742C39" w:rsidRPr="00742C39" w:rsidRDefault="00742C39" w:rsidP="00742C39">
            <w:pPr>
              <w:spacing w:after="0" w:line="240" w:lineRule="auto"/>
              <w:jc w:val="center"/>
              <w:rPr>
                <w:rFonts w:ascii="Calibri" w:eastAsia="Times New Roman" w:hAnsi="Calibri" w:cs="Calibri"/>
                <w:color w:val="000000"/>
                <w:sz w:val="20"/>
                <w:szCs w:val="20"/>
              </w:rPr>
            </w:pPr>
            <w:r w:rsidRPr="00742C39">
              <w:rPr>
                <w:rFonts w:ascii="Calibri" w:eastAsia="Times New Roman" w:hAnsi="Calibri" w:cs="Calibri"/>
                <w:color w:val="000000"/>
                <w:sz w:val="20"/>
                <w:szCs w:val="20"/>
              </w:rPr>
              <w:t>5.1%</w:t>
            </w:r>
          </w:p>
        </w:tc>
        <w:tc>
          <w:tcPr>
            <w:tcW w:w="900" w:type="dxa"/>
            <w:tcBorders>
              <w:top w:val="nil"/>
              <w:left w:val="nil"/>
              <w:bottom w:val="nil"/>
              <w:right w:val="nil"/>
            </w:tcBorders>
            <w:shd w:val="clear" w:color="auto" w:fill="auto"/>
            <w:noWrap/>
            <w:vAlign w:val="center"/>
            <w:hideMark/>
          </w:tcPr>
          <w:p w:rsidR="00742C39" w:rsidRPr="00742C39" w:rsidRDefault="00742C39" w:rsidP="00742C39">
            <w:pPr>
              <w:spacing w:after="0" w:line="240" w:lineRule="auto"/>
              <w:jc w:val="center"/>
              <w:rPr>
                <w:rFonts w:ascii="Calibri" w:eastAsia="Times New Roman" w:hAnsi="Calibri" w:cs="Calibri"/>
                <w:color w:val="000000"/>
                <w:sz w:val="20"/>
                <w:szCs w:val="20"/>
              </w:rPr>
            </w:pPr>
            <w:r w:rsidRPr="00742C39">
              <w:rPr>
                <w:rFonts w:ascii="Calibri" w:eastAsia="Times New Roman" w:hAnsi="Calibri" w:cs="Calibri"/>
                <w:color w:val="000000"/>
                <w:sz w:val="20"/>
                <w:szCs w:val="20"/>
              </w:rPr>
              <w:t>3.8%</w:t>
            </w:r>
          </w:p>
        </w:tc>
        <w:tc>
          <w:tcPr>
            <w:tcW w:w="270" w:type="dxa"/>
            <w:tcBorders>
              <w:top w:val="nil"/>
              <w:left w:val="single" w:sz="4" w:space="0" w:color="auto"/>
              <w:bottom w:val="nil"/>
              <w:right w:val="single" w:sz="4" w:space="0" w:color="auto"/>
            </w:tcBorders>
            <w:shd w:val="clear" w:color="auto" w:fill="auto"/>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 xml:space="preserve"> </w:t>
            </w:r>
          </w:p>
        </w:tc>
        <w:tc>
          <w:tcPr>
            <w:tcW w:w="990" w:type="dxa"/>
            <w:tcBorders>
              <w:top w:val="nil"/>
              <w:left w:val="nil"/>
              <w:bottom w:val="nil"/>
              <w:right w:val="nil"/>
            </w:tcBorders>
            <w:shd w:val="clear" w:color="auto" w:fill="auto"/>
            <w:noWrap/>
            <w:vAlign w:val="center"/>
            <w:hideMark/>
          </w:tcPr>
          <w:p w:rsidR="00742C39" w:rsidRPr="00742C39" w:rsidRDefault="00742C39" w:rsidP="00742C39">
            <w:pPr>
              <w:spacing w:after="0" w:line="240" w:lineRule="auto"/>
              <w:jc w:val="center"/>
              <w:rPr>
                <w:rFonts w:ascii="Calibri" w:eastAsia="Times New Roman" w:hAnsi="Calibri" w:cs="Calibri"/>
                <w:color w:val="000000"/>
                <w:sz w:val="20"/>
                <w:szCs w:val="20"/>
              </w:rPr>
            </w:pPr>
            <w:r w:rsidRPr="00742C39">
              <w:rPr>
                <w:rFonts w:ascii="Calibri" w:eastAsia="Times New Roman" w:hAnsi="Calibri" w:cs="Calibri"/>
                <w:color w:val="000000"/>
                <w:sz w:val="20"/>
                <w:szCs w:val="20"/>
              </w:rPr>
              <w:t>2.5%</w:t>
            </w:r>
          </w:p>
        </w:tc>
        <w:tc>
          <w:tcPr>
            <w:tcW w:w="990" w:type="dxa"/>
            <w:tcBorders>
              <w:top w:val="nil"/>
              <w:left w:val="nil"/>
              <w:bottom w:val="nil"/>
              <w:right w:val="nil"/>
            </w:tcBorders>
            <w:shd w:val="clear" w:color="auto" w:fill="auto"/>
            <w:noWrap/>
            <w:vAlign w:val="center"/>
            <w:hideMark/>
          </w:tcPr>
          <w:p w:rsidR="00742C39" w:rsidRPr="00742C39" w:rsidRDefault="00742C39" w:rsidP="00742C39">
            <w:pPr>
              <w:spacing w:after="0" w:line="240" w:lineRule="auto"/>
              <w:jc w:val="center"/>
              <w:rPr>
                <w:rFonts w:ascii="Calibri" w:eastAsia="Times New Roman" w:hAnsi="Calibri" w:cs="Calibri"/>
                <w:color w:val="000000"/>
                <w:sz w:val="20"/>
                <w:szCs w:val="20"/>
              </w:rPr>
            </w:pPr>
            <w:r w:rsidRPr="00742C39">
              <w:rPr>
                <w:rFonts w:ascii="Calibri" w:eastAsia="Times New Roman" w:hAnsi="Calibri" w:cs="Calibri"/>
                <w:color w:val="000000"/>
                <w:sz w:val="20"/>
                <w:szCs w:val="20"/>
              </w:rPr>
              <w:t>8.3%</w:t>
            </w:r>
          </w:p>
        </w:tc>
      </w:tr>
      <w:tr w:rsidR="00742C39" w:rsidRPr="00742C39" w:rsidTr="00742C39">
        <w:trPr>
          <w:trHeight w:val="390"/>
        </w:trPr>
        <w:tc>
          <w:tcPr>
            <w:tcW w:w="234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42C39" w:rsidRPr="00742C39" w:rsidRDefault="00742C39" w:rsidP="00742C39">
            <w:pPr>
              <w:spacing w:after="0" w:line="240" w:lineRule="auto"/>
              <w:rPr>
                <w:rFonts w:ascii="Calibri" w:eastAsia="Times New Roman" w:hAnsi="Calibri" w:cs="Calibri"/>
                <w:sz w:val="20"/>
                <w:szCs w:val="20"/>
              </w:rPr>
            </w:pPr>
            <w:r w:rsidRPr="00742C39">
              <w:rPr>
                <w:rFonts w:ascii="Calibri" w:eastAsia="Times New Roman" w:hAnsi="Calibri" w:cs="Calibri"/>
                <w:sz w:val="20"/>
                <w:szCs w:val="20"/>
              </w:rPr>
              <w:t>Average Non-Metro</w:t>
            </w:r>
          </w:p>
        </w:tc>
        <w:tc>
          <w:tcPr>
            <w:tcW w:w="1016" w:type="dxa"/>
            <w:tcBorders>
              <w:top w:val="nil"/>
              <w:left w:val="nil"/>
              <w:bottom w:val="nil"/>
              <w:right w:val="nil"/>
            </w:tcBorders>
            <w:shd w:val="clear" w:color="000000" w:fill="BFBFBF"/>
            <w:noWrap/>
            <w:vAlign w:val="center"/>
            <w:hideMark/>
          </w:tcPr>
          <w:p w:rsidR="00742C39" w:rsidRPr="00742C39" w:rsidRDefault="00742C39" w:rsidP="00742C39">
            <w:pPr>
              <w:spacing w:after="0" w:line="240" w:lineRule="auto"/>
              <w:jc w:val="center"/>
              <w:rPr>
                <w:rFonts w:ascii="Calibri" w:eastAsia="Times New Roman" w:hAnsi="Calibri" w:cs="Calibri"/>
                <w:color w:val="000000"/>
                <w:sz w:val="20"/>
                <w:szCs w:val="20"/>
              </w:rPr>
            </w:pPr>
            <w:r w:rsidRPr="00742C39">
              <w:rPr>
                <w:rFonts w:ascii="Calibri" w:eastAsia="Times New Roman" w:hAnsi="Calibri" w:cs="Calibri"/>
                <w:color w:val="000000"/>
                <w:sz w:val="20"/>
                <w:szCs w:val="20"/>
              </w:rPr>
              <w:t>4.7%</w:t>
            </w:r>
          </w:p>
        </w:tc>
        <w:tc>
          <w:tcPr>
            <w:tcW w:w="964" w:type="dxa"/>
            <w:tcBorders>
              <w:top w:val="nil"/>
              <w:left w:val="nil"/>
              <w:bottom w:val="nil"/>
              <w:right w:val="nil"/>
            </w:tcBorders>
            <w:shd w:val="clear" w:color="000000" w:fill="BFBFBF"/>
            <w:noWrap/>
            <w:vAlign w:val="center"/>
            <w:hideMark/>
          </w:tcPr>
          <w:p w:rsidR="00742C39" w:rsidRPr="00742C39" w:rsidRDefault="00742C39" w:rsidP="00742C39">
            <w:pPr>
              <w:spacing w:after="0" w:line="240" w:lineRule="auto"/>
              <w:jc w:val="center"/>
              <w:rPr>
                <w:rFonts w:ascii="Calibri" w:eastAsia="Times New Roman" w:hAnsi="Calibri" w:cs="Calibri"/>
                <w:color w:val="000000"/>
                <w:sz w:val="20"/>
                <w:szCs w:val="20"/>
              </w:rPr>
            </w:pPr>
            <w:r w:rsidRPr="00742C39">
              <w:rPr>
                <w:rFonts w:ascii="Calibri" w:eastAsia="Times New Roman" w:hAnsi="Calibri" w:cs="Calibri"/>
                <w:color w:val="000000"/>
                <w:sz w:val="20"/>
                <w:szCs w:val="20"/>
              </w:rPr>
              <w:t>4.2%</w:t>
            </w:r>
          </w:p>
        </w:tc>
        <w:tc>
          <w:tcPr>
            <w:tcW w:w="900" w:type="dxa"/>
            <w:tcBorders>
              <w:top w:val="nil"/>
              <w:left w:val="nil"/>
              <w:bottom w:val="nil"/>
              <w:right w:val="nil"/>
            </w:tcBorders>
            <w:shd w:val="clear" w:color="000000" w:fill="BFBFBF"/>
            <w:noWrap/>
            <w:vAlign w:val="center"/>
            <w:hideMark/>
          </w:tcPr>
          <w:p w:rsidR="00742C39" w:rsidRPr="00742C39" w:rsidRDefault="00742C39" w:rsidP="00742C39">
            <w:pPr>
              <w:spacing w:after="0" w:line="240" w:lineRule="auto"/>
              <w:jc w:val="center"/>
              <w:rPr>
                <w:rFonts w:ascii="Calibri" w:eastAsia="Times New Roman" w:hAnsi="Calibri" w:cs="Calibri"/>
                <w:color w:val="000000"/>
                <w:sz w:val="20"/>
                <w:szCs w:val="20"/>
              </w:rPr>
            </w:pPr>
            <w:r w:rsidRPr="00742C39">
              <w:rPr>
                <w:rFonts w:ascii="Calibri" w:eastAsia="Times New Roman" w:hAnsi="Calibri" w:cs="Calibri"/>
                <w:color w:val="000000"/>
                <w:sz w:val="20"/>
                <w:szCs w:val="20"/>
              </w:rPr>
              <w:t>4.3%</w:t>
            </w:r>
          </w:p>
        </w:tc>
        <w:tc>
          <w:tcPr>
            <w:tcW w:w="990" w:type="dxa"/>
            <w:gridSpan w:val="2"/>
            <w:tcBorders>
              <w:top w:val="nil"/>
              <w:left w:val="nil"/>
              <w:bottom w:val="nil"/>
              <w:right w:val="nil"/>
            </w:tcBorders>
            <w:shd w:val="clear" w:color="000000" w:fill="BFBFBF"/>
            <w:noWrap/>
            <w:vAlign w:val="center"/>
            <w:hideMark/>
          </w:tcPr>
          <w:p w:rsidR="00742C39" w:rsidRPr="00742C39" w:rsidRDefault="00742C39" w:rsidP="00742C39">
            <w:pPr>
              <w:spacing w:after="0" w:line="240" w:lineRule="auto"/>
              <w:jc w:val="center"/>
              <w:rPr>
                <w:rFonts w:ascii="Calibri" w:eastAsia="Times New Roman" w:hAnsi="Calibri" w:cs="Calibri"/>
                <w:color w:val="000000"/>
                <w:sz w:val="20"/>
                <w:szCs w:val="20"/>
              </w:rPr>
            </w:pPr>
            <w:r w:rsidRPr="00742C39">
              <w:rPr>
                <w:rFonts w:ascii="Calibri" w:eastAsia="Times New Roman" w:hAnsi="Calibri" w:cs="Calibri"/>
                <w:color w:val="000000"/>
                <w:sz w:val="20"/>
                <w:szCs w:val="20"/>
              </w:rPr>
              <w:t>3.0%</w:t>
            </w:r>
          </w:p>
        </w:tc>
        <w:tc>
          <w:tcPr>
            <w:tcW w:w="1080" w:type="dxa"/>
            <w:tcBorders>
              <w:top w:val="nil"/>
              <w:left w:val="nil"/>
              <w:bottom w:val="nil"/>
              <w:right w:val="nil"/>
            </w:tcBorders>
            <w:shd w:val="clear" w:color="000000" w:fill="BFBFBF"/>
            <w:noWrap/>
            <w:vAlign w:val="center"/>
            <w:hideMark/>
          </w:tcPr>
          <w:p w:rsidR="00742C39" w:rsidRPr="00742C39" w:rsidRDefault="00742C39" w:rsidP="00742C39">
            <w:pPr>
              <w:spacing w:after="0" w:line="240" w:lineRule="auto"/>
              <w:jc w:val="center"/>
              <w:rPr>
                <w:rFonts w:ascii="Calibri" w:eastAsia="Times New Roman" w:hAnsi="Calibri" w:cs="Calibri"/>
                <w:color w:val="000000"/>
                <w:sz w:val="20"/>
                <w:szCs w:val="20"/>
              </w:rPr>
            </w:pPr>
            <w:r w:rsidRPr="00742C39">
              <w:rPr>
                <w:rFonts w:ascii="Calibri" w:eastAsia="Times New Roman" w:hAnsi="Calibri" w:cs="Calibri"/>
                <w:color w:val="000000"/>
                <w:sz w:val="20"/>
                <w:szCs w:val="20"/>
              </w:rPr>
              <w:t>5.3%</w:t>
            </w:r>
          </w:p>
        </w:tc>
        <w:tc>
          <w:tcPr>
            <w:tcW w:w="900" w:type="dxa"/>
            <w:tcBorders>
              <w:top w:val="nil"/>
              <w:left w:val="nil"/>
              <w:bottom w:val="nil"/>
              <w:right w:val="nil"/>
            </w:tcBorders>
            <w:shd w:val="clear" w:color="000000" w:fill="BFBFBF"/>
            <w:noWrap/>
            <w:vAlign w:val="center"/>
            <w:hideMark/>
          </w:tcPr>
          <w:p w:rsidR="00742C39" w:rsidRPr="00742C39" w:rsidRDefault="00742C39" w:rsidP="00742C39">
            <w:pPr>
              <w:spacing w:after="0" w:line="240" w:lineRule="auto"/>
              <w:jc w:val="center"/>
              <w:rPr>
                <w:rFonts w:ascii="Calibri" w:eastAsia="Times New Roman" w:hAnsi="Calibri" w:cs="Calibri"/>
                <w:color w:val="000000"/>
                <w:sz w:val="20"/>
                <w:szCs w:val="20"/>
              </w:rPr>
            </w:pPr>
            <w:r w:rsidRPr="00742C39">
              <w:rPr>
                <w:rFonts w:ascii="Calibri" w:eastAsia="Times New Roman" w:hAnsi="Calibri" w:cs="Calibri"/>
                <w:color w:val="000000"/>
                <w:sz w:val="20"/>
                <w:szCs w:val="20"/>
              </w:rPr>
              <w:t>4.3%</w:t>
            </w:r>
          </w:p>
        </w:tc>
        <w:tc>
          <w:tcPr>
            <w:tcW w:w="270" w:type="dxa"/>
            <w:tcBorders>
              <w:top w:val="nil"/>
              <w:left w:val="single" w:sz="8" w:space="0" w:color="auto"/>
              <w:bottom w:val="nil"/>
              <w:right w:val="single" w:sz="8" w:space="0" w:color="auto"/>
            </w:tcBorders>
            <w:shd w:val="clear" w:color="auto" w:fill="auto"/>
            <w:noWrap/>
            <w:vAlign w:val="bottom"/>
            <w:hideMark/>
          </w:tcPr>
          <w:p w:rsidR="00742C39" w:rsidRPr="00742C39" w:rsidRDefault="00742C39" w:rsidP="00742C39">
            <w:pPr>
              <w:spacing w:after="0" w:line="240" w:lineRule="auto"/>
              <w:jc w:val="center"/>
              <w:rPr>
                <w:rFonts w:ascii="Calibri" w:eastAsia="Times New Roman" w:hAnsi="Calibri" w:cs="Calibri"/>
                <w:sz w:val="20"/>
                <w:szCs w:val="20"/>
              </w:rPr>
            </w:pPr>
            <w:r w:rsidRPr="00742C39">
              <w:rPr>
                <w:rFonts w:ascii="Calibri" w:eastAsia="Times New Roman" w:hAnsi="Calibri" w:cs="Calibri"/>
                <w:sz w:val="20"/>
                <w:szCs w:val="20"/>
              </w:rPr>
              <w:t> </w:t>
            </w:r>
          </w:p>
        </w:tc>
        <w:tc>
          <w:tcPr>
            <w:tcW w:w="990" w:type="dxa"/>
            <w:tcBorders>
              <w:top w:val="nil"/>
              <w:left w:val="nil"/>
              <w:bottom w:val="nil"/>
              <w:right w:val="nil"/>
            </w:tcBorders>
            <w:shd w:val="clear" w:color="000000" w:fill="BFBFBF"/>
            <w:noWrap/>
            <w:vAlign w:val="center"/>
            <w:hideMark/>
          </w:tcPr>
          <w:p w:rsidR="00742C39" w:rsidRPr="00742C39" w:rsidRDefault="00742C39" w:rsidP="00742C39">
            <w:pPr>
              <w:spacing w:after="0" w:line="240" w:lineRule="auto"/>
              <w:jc w:val="center"/>
              <w:rPr>
                <w:rFonts w:ascii="Calibri" w:eastAsia="Times New Roman" w:hAnsi="Calibri" w:cs="Calibri"/>
                <w:color w:val="000000"/>
                <w:sz w:val="20"/>
                <w:szCs w:val="20"/>
              </w:rPr>
            </w:pPr>
            <w:r w:rsidRPr="00742C39">
              <w:rPr>
                <w:rFonts w:ascii="Calibri" w:eastAsia="Times New Roman" w:hAnsi="Calibri" w:cs="Calibri"/>
                <w:color w:val="000000"/>
                <w:sz w:val="20"/>
                <w:szCs w:val="20"/>
              </w:rPr>
              <w:t>3.7%</w:t>
            </w:r>
          </w:p>
        </w:tc>
        <w:tc>
          <w:tcPr>
            <w:tcW w:w="990" w:type="dxa"/>
            <w:tcBorders>
              <w:top w:val="nil"/>
              <w:left w:val="nil"/>
              <w:bottom w:val="nil"/>
              <w:right w:val="nil"/>
            </w:tcBorders>
            <w:shd w:val="clear" w:color="000000" w:fill="BFBFBF"/>
            <w:noWrap/>
            <w:vAlign w:val="center"/>
            <w:hideMark/>
          </w:tcPr>
          <w:p w:rsidR="00742C39" w:rsidRPr="00742C39" w:rsidRDefault="00742C39" w:rsidP="00742C39">
            <w:pPr>
              <w:spacing w:after="0" w:line="240" w:lineRule="auto"/>
              <w:jc w:val="center"/>
              <w:rPr>
                <w:rFonts w:ascii="Calibri" w:eastAsia="Times New Roman" w:hAnsi="Calibri" w:cs="Calibri"/>
                <w:color w:val="000000"/>
                <w:sz w:val="20"/>
                <w:szCs w:val="20"/>
              </w:rPr>
            </w:pPr>
            <w:r w:rsidRPr="00742C39">
              <w:rPr>
                <w:rFonts w:ascii="Calibri" w:eastAsia="Times New Roman" w:hAnsi="Calibri" w:cs="Calibri"/>
                <w:color w:val="000000"/>
                <w:sz w:val="20"/>
                <w:szCs w:val="20"/>
              </w:rPr>
              <w:t>9.0%</w:t>
            </w:r>
          </w:p>
        </w:tc>
      </w:tr>
    </w:tbl>
    <w:p w:rsidR="00DC2C46" w:rsidRPr="00054E92" w:rsidRDefault="00DC2C46">
      <w:pPr>
        <w:rPr>
          <w:rFonts w:cstheme="minorHAnsi"/>
          <w:b/>
          <w:sz w:val="24"/>
          <w:szCs w:val="24"/>
          <w:u w:val="single"/>
        </w:rPr>
        <w:sectPr w:rsidR="00DC2C46" w:rsidRPr="00054E92" w:rsidSect="00050B3D">
          <w:headerReference w:type="default" r:id="rId11"/>
          <w:footerReference w:type="default" r:id="rId12"/>
          <w:pgSz w:w="12240" w:h="15840"/>
          <w:pgMar w:top="1440" w:right="1440" w:bottom="1440" w:left="1440" w:header="720" w:footer="720" w:gutter="0"/>
          <w:cols w:space="720"/>
          <w:docGrid w:linePitch="360"/>
        </w:sectPr>
      </w:pPr>
    </w:p>
    <w:tbl>
      <w:tblPr>
        <w:tblW w:w="13217" w:type="dxa"/>
        <w:tblInd w:w="93" w:type="dxa"/>
        <w:tblLook w:val="04A0" w:firstRow="1" w:lastRow="0" w:firstColumn="1" w:lastColumn="0" w:noHBand="0" w:noVBand="1"/>
      </w:tblPr>
      <w:tblGrid>
        <w:gridCol w:w="2308"/>
        <w:gridCol w:w="659"/>
        <w:gridCol w:w="699"/>
        <w:gridCol w:w="785"/>
        <w:gridCol w:w="711"/>
        <w:gridCol w:w="645"/>
        <w:gridCol w:w="761"/>
        <w:gridCol w:w="642"/>
        <w:gridCol w:w="676"/>
        <w:gridCol w:w="556"/>
        <w:gridCol w:w="587"/>
        <w:gridCol w:w="678"/>
        <w:gridCol w:w="851"/>
        <w:gridCol w:w="642"/>
        <w:gridCol w:w="836"/>
        <w:gridCol w:w="271"/>
        <w:gridCol w:w="642"/>
        <w:gridCol w:w="642"/>
      </w:tblGrid>
      <w:tr w:rsidR="0067712F" w:rsidRPr="00054E92" w:rsidTr="0067712F">
        <w:trPr>
          <w:trHeight w:val="315"/>
        </w:trPr>
        <w:tc>
          <w:tcPr>
            <w:tcW w:w="11805" w:type="dxa"/>
            <w:gridSpan w:val="15"/>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Table 3. Percent of Households Below the FPL and SSS in Select States by Race-Ethnicity</w:t>
            </w:r>
          </w:p>
        </w:tc>
        <w:tc>
          <w:tcPr>
            <w:tcW w:w="270" w:type="dxa"/>
            <w:tcBorders>
              <w:top w:val="nil"/>
              <w:left w:val="nil"/>
              <w:bottom w:val="nil"/>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p>
        </w:tc>
        <w:tc>
          <w:tcPr>
            <w:tcW w:w="571" w:type="dxa"/>
            <w:tcBorders>
              <w:top w:val="nil"/>
              <w:left w:val="nil"/>
              <w:bottom w:val="nil"/>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p>
        </w:tc>
        <w:tc>
          <w:tcPr>
            <w:tcW w:w="571" w:type="dxa"/>
            <w:tcBorders>
              <w:top w:val="nil"/>
              <w:left w:val="nil"/>
              <w:bottom w:val="nil"/>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p>
        </w:tc>
      </w:tr>
      <w:tr w:rsidR="0067712F" w:rsidRPr="00054E92" w:rsidTr="0038569A">
        <w:trPr>
          <w:trHeight w:val="315"/>
        </w:trPr>
        <w:tc>
          <w:tcPr>
            <w:tcW w:w="2308" w:type="dxa"/>
            <w:vMerge w:val="restart"/>
            <w:tcBorders>
              <w:top w:val="nil"/>
              <w:left w:val="single" w:sz="8" w:space="0" w:color="auto"/>
              <w:bottom w:val="single" w:sz="8" w:space="0" w:color="000000"/>
              <w:right w:val="single" w:sz="4" w:space="0" w:color="auto"/>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 </w:t>
            </w:r>
          </w:p>
        </w:tc>
        <w:tc>
          <w:tcPr>
            <w:tcW w:w="1358" w:type="dxa"/>
            <w:gridSpan w:val="2"/>
            <w:tcBorders>
              <w:top w:val="single" w:sz="8" w:space="0" w:color="auto"/>
              <w:left w:val="nil"/>
              <w:bottom w:val="single" w:sz="8" w:space="0" w:color="auto"/>
              <w:right w:val="single" w:sz="4" w:space="0" w:color="000000"/>
            </w:tcBorders>
            <w:shd w:val="clear" w:color="000000" w:fill="D9D9D9"/>
            <w:noWrap/>
            <w:vAlign w:val="center"/>
            <w:hideMark/>
          </w:tcPr>
          <w:p w:rsidR="0067712F" w:rsidRPr="00054E92" w:rsidRDefault="0067712F"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California</w:t>
            </w:r>
          </w:p>
        </w:tc>
        <w:tc>
          <w:tcPr>
            <w:tcW w:w="1496" w:type="dxa"/>
            <w:gridSpan w:val="2"/>
            <w:tcBorders>
              <w:top w:val="single" w:sz="8" w:space="0" w:color="auto"/>
              <w:left w:val="nil"/>
              <w:bottom w:val="single" w:sz="8" w:space="0" w:color="auto"/>
              <w:right w:val="single" w:sz="4" w:space="0" w:color="000000"/>
            </w:tcBorders>
            <w:shd w:val="clear" w:color="000000" w:fill="D9D9D9"/>
            <w:noWrap/>
            <w:vAlign w:val="center"/>
            <w:hideMark/>
          </w:tcPr>
          <w:p w:rsidR="0067712F" w:rsidRPr="00054E92" w:rsidRDefault="0067712F"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Colorado</w:t>
            </w:r>
          </w:p>
        </w:tc>
        <w:tc>
          <w:tcPr>
            <w:tcW w:w="1385" w:type="dxa"/>
            <w:gridSpan w:val="2"/>
            <w:tcBorders>
              <w:top w:val="single" w:sz="8" w:space="0" w:color="auto"/>
              <w:left w:val="nil"/>
              <w:bottom w:val="single" w:sz="8" w:space="0" w:color="auto"/>
              <w:right w:val="single" w:sz="4" w:space="0" w:color="000000"/>
            </w:tcBorders>
            <w:shd w:val="clear" w:color="000000" w:fill="D9D9D9"/>
            <w:noWrap/>
            <w:vAlign w:val="center"/>
            <w:hideMark/>
          </w:tcPr>
          <w:p w:rsidR="0067712F" w:rsidRPr="00054E92" w:rsidRDefault="0067712F"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Connecticut</w:t>
            </w:r>
          </w:p>
        </w:tc>
        <w:tc>
          <w:tcPr>
            <w:tcW w:w="1253" w:type="dxa"/>
            <w:gridSpan w:val="2"/>
            <w:tcBorders>
              <w:top w:val="single" w:sz="8" w:space="0" w:color="auto"/>
              <w:left w:val="nil"/>
              <w:bottom w:val="single" w:sz="8" w:space="0" w:color="auto"/>
              <w:right w:val="single" w:sz="4" w:space="0" w:color="000000"/>
            </w:tcBorders>
            <w:shd w:val="clear" w:color="000000" w:fill="D9D9D9"/>
            <w:noWrap/>
            <w:vAlign w:val="center"/>
            <w:hideMark/>
          </w:tcPr>
          <w:p w:rsidR="0067712F" w:rsidRPr="00054E92" w:rsidRDefault="0067712F"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Mississippi</w:t>
            </w:r>
          </w:p>
        </w:tc>
        <w:tc>
          <w:tcPr>
            <w:tcW w:w="1115" w:type="dxa"/>
            <w:gridSpan w:val="2"/>
            <w:tcBorders>
              <w:top w:val="single" w:sz="8" w:space="0" w:color="auto"/>
              <w:left w:val="nil"/>
              <w:bottom w:val="single" w:sz="8" w:space="0" w:color="auto"/>
              <w:right w:val="single" w:sz="4" w:space="0" w:color="000000"/>
            </w:tcBorders>
            <w:shd w:val="clear" w:color="000000" w:fill="D9D9D9"/>
            <w:noWrap/>
            <w:vAlign w:val="center"/>
            <w:hideMark/>
          </w:tcPr>
          <w:p w:rsidR="0067712F" w:rsidRPr="00054E92" w:rsidRDefault="0067712F"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New Jersey</w:t>
            </w:r>
          </w:p>
        </w:tc>
        <w:tc>
          <w:tcPr>
            <w:tcW w:w="1443" w:type="dxa"/>
            <w:gridSpan w:val="2"/>
            <w:tcBorders>
              <w:top w:val="single" w:sz="8" w:space="0" w:color="auto"/>
              <w:left w:val="nil"/>
              <w:bottom w:val="single" w:sz="8" w:space="0" w:color="auto"/>
              <w:right w:val="single" w:sz="4" w:space="0" w:color="000000"/>
            </w:tcBorders>
            <w:shd w:val="clear" w:color="000000" w:fill="D9D9D9"/>
            <w:noWrap/>
            <w:vAlign w:val="center"/>
            <w:hideMark/>
          </w:tcPr>
          <w:p w:rsidR="0067712F" w:rsidRPr="00054E92" w:rsidRDefault="0067712F"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Pennsylvania</w:t>
            </w:r>
          </w:p>
        </w:tc>
        <w:tc>
          <w:tcPr>
            <w:tcW w:w="1447" w:type="dxa"/>
            <w:gridSpan w:val="2"/>
            <w:tcBorders>
              <w:top w:val="single" w:sz="8" w:space="0" w:color="auto"/>
              <w:left w:val="nil"/>
              <w:bottom w:val="single" w:sz="8" w:space="0" w:color="auto"/>
              <w:right w:val="single" w:sz="4" w:space="0" w:color="000000"/>
            </w:tcBorders>
            <w:shd w:val="clear" w:color="000000" w:fill="D9D9D9"/>
            <w:noWrap/>
            <w:vAlign w:val="center"/>
            <w:hideMark/>
          </w:tcPr>
          <w:p w:rsidR="0067712F" w:rsidRPr="00054E92" w:rsidRDefault="0067712F"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Washington</w:t>
            </w:r>
          </w:p>
        </w:tc>
        <w:tc>
          <w:tcPr>
            <w:tcW w:w="270" w:type="dxa"/>
            <w:tcBorders>
              <w:top w:val="single" w:sz="8" w:space="0" w:color="auto"/>
              <w:left w:val="nil"/>
              <w:bottom w:val="nil"/>
              <w:right w:val="single" w:sz="4" w:space="0" w:color="auto"/>
            </w:tcBorders>
            <w:shd w:val="clear" w:color="auto" w:fill="auto"/>
            <w:noWrap/>
            <w:vAlign w:val="center"/>
            <w:hideMark/>
          </w:tcPr>
          <w:p w:rsidR="0067712F" w:rsidRPr="00054E92" w:rsidRDefault="0067712F" w:rsidP="0038569A">
            <w:pPr>
              <w:spacing w:after="0" w:line="240" w:lineRule="auto"/>
              <w:jc w:val="center"/>
              <w:rPr>
                <w:rFonts w:eastAsia="Times New Roman" w:cstheme="minorHAnsi"/>
                <w:b/>
                <w:bCs/>
                <w:color w:val="000000"/>
                <w:sz w:val="24"/>
                <w:szCs w:val="24"/>
              </w:rPr>
            </w:pPr>
          </w:p>
        </w:tc>
        <w:tc>
          <w:tcPr>
            <w:tcW w:w="1142"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67712F" w:rsidRPr="00054E92" w:rsidRDefault="0067712F"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Total</w:t>
            </w:r>
          </w:p>
        </w:tc>
      </w:tr>
      <w:tr w:rsidR="0067712F" w:rsidRPr="00054E92" w:rsidTr="0067712F">
        <w:trPr>
          <w:trHeight w:val="315"/>
        </w:trPr>
        <w:tc>
          <w:tcPr>
            <w:tcW w:w="2308" w:type="dxa"/>
            <w:vMerge/>
            <w:tcBorders>
              <w:top w:val="nil"/>
              <w:left w:val="single" w:sz="8" w:space="0" w:color="auto"/>
              <w:bottom w:val="single" w:sz="8" w:space="0" w:color="000000"/>
              <w:right w:val="single" w:sz="4" w:space="0" w:color="auto"/>
            </w:tcBorders>
            <w:vAlign w:val="center"/>
            <w:hideMark/>
          </w:tcPr>
          <w:p w:rsidR="0067712F" w:rsidRPr="00054E92" w:rsidRDefault="0067712F" w:rsidP="0067712F">
            <w:pPr>
              <w:spacing w:after="0" w:line="240" w:lineRule="auto"/>
              <w:rPr>
                <w:rFonts w:eastAsia="Times New Roman" w:cstheme="minorHAnsi"/>
                <w:b/>
                <w:bCs/>
                <w:color w:val="000000"/>
                <w:sz w:val="24"/>
                <w:szCs w:val="24"/>
              </w:rPr>
            </w:pPr>
          </w:p>
        </w:tc>
        <w:tc>
          <w:tcPr>
            <w:tcW w:w="659"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FPL</w:t>
            </w:r>
          </w:p>
        </w:tc>
        <w:tc>
          <w:tcPr>
            <w:tcW w:w="699" w:type="dxa"/>
            <w:tcBorders>
              <w:top w:val="nil"/>
              <w:left w:val="nil"/>
              <w:bottom w:val="single" w:sz="8"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SSS</w:t>
            </w:r>
          </w:p>
        </w:tc>
        <w:tc>
          <w:tcPr>
            <w:tcW w:w="785"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FPL</w:t>
            </w:r>
          </w:p>
        </w:tc>
        <w:tc>
          <w:tcPr>
            <w:tcW w:w="711" w:type="dxa"/>
            <w:tcBorders>
              <w:top w:val="nil"/>
              <w:left w:val="nil"/>
              <w:bottom w:val="single" w:sz="8"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SSS</w:t>
            </w:r>
          </w:p>
        </w:tc>
        <w:tc>
          <w:tcPr>
            <w:tcW w:w="635"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FPL</w:t>
            </w:r>
          </w:p>
        </w:tc>
        <w:tc>
          <w:tcPr>
            <w:tcW w:w="750" w:type="dxa"/>
            <w:tcBorders>
              <w:top w:val="nil"/>
              <w:left w:val="nil"/>
              <w:bottom w:val="single" w:sz="8"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SSS</w:t>
            </w:r>
          </w:p>
        </w:tc>
        <w:tc>
          <w:tcPr>
            <w:tcW w:w="577"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FPL</w:t>
            </w:r>
          </w:p>
        </w:tc>
        <w:tc>
          <w:tcPr>
            <w:tcW w:w="676" w:type="dxa"/>
            <w:tcBorders>
              <w:top w:val="nil"/>
              <w:left w:val="nil"/>
              <w:bottom w:val="single" w:sz="8"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SSS</w:t>
            </w:r>
          </w:p>
        </w:tc>
        <w:tc>
          <w:tcPr>
            <w:tcW w:w="528"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FPL</w:t>
            </w:r>
          </w:p>
        </w:tc>
        <w:tc>
          <w:tcPr>
            <w:tcW w:w="587" w:type="dxa"/>
            <w:tcBorders>
              <w:top w:val="nil"/>
              <w:left w:val="nil"/>
              <w:bottom w:val="single" w:sz="8"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SSS</w:t>
            </w:r>
          </w:p>
        </w:tc>
        <w:tc>
          <w:tcPr>
            <w:tcW w:w="638"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FPL</w:t>
            </w:r>
          </w:p>
        </w:tc>
        <w:tc>
          <w:tcPr>
            <w:tcW w:w="805" w:type="dxa"/>
            <w:tcBorders>
              <w:top w:val="nil"/>
              <w:left w:val="nil"/>
              <w:bottom w:val="single" w:sz="8"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SSS</w:t>
            </w:r>
          </w:p>
        </w:tc>
        <w:tc>
          <w:tcPr>
            <w:tcW w:w="611"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FPL</w:t>
            </w:r>
          </w:p>
        </w:tc>
        <w:tc>
          <w:tcPr>
            <w:tcW w:w="836" w:type="dxa"/>
            <w:tcBorders>
              <w:top w:val="nil"/>
              <w:left w:val="nil"/>
              <w:bottom w:val="single" w:sz="8"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SSS</w:t>
            </w:r>
          </w:p>
        </w:tc>
        <w:tc>
          <w:tcPr>
            <w:tcW w:w="270" w:type="dxa"/>
            <w:tcBorders>
              <w:top w:val="nil"/>
              <w:left w:val="nil"/>
              <w:bottom w:val="nil"/>
              <w:right w:val="single" w:sz="4" w:space="0" w:color="auto"/>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 </w:t>
            </w:r>
          </w:p>
        </w:tc>
        <w:tc>
          <w:tcPr>
            <w:tcW w:w="571"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FPL</w:t>
            </w:r>
          </w:p>
        </w:tc>
        <w:tc>
          <w:tcPr>
            <w:tcW w:w="571" w:type="dxa"/>
            <w:tcBorders>
              <w:top w:val="nil"/>
              <w:left w:val="nil"/>
              <w:bottom w:val="single" w:sz="8" w:space="0" w:color="auto"/>
              <w:right w:val="single" w:sz="8"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SSS</w:t>
            </w:r>
          </w:p>
        </w:tc>
      </w:tr>
      <w:tr w:rsidR="0067712F" w:rsidRPr="00054E92" w:rsidTr="0067712F">
        <w:trPr>
          <w:trHeight w:val="315"/>
        </w:trPr>
        <w:tc>
          <w:tcPr>
            <w:tcW w:w="2308" w:type="dxa"/>
            <w:tcBorders>
              <w:top w:val="nil"/>
              <w:left w:val="single" w:sz="8" w:space="0" w:color="auto"/>
              <w:bottom w:val="single" w:sz="8" w:space="0" w:color="auto"/>
              <w:right w:val="single" w:sz="4" w:space="0" w:color="auto"/>
            </w:tcBorders>
            <w:shd w:val="clear" w:color="auto" w:fill="auto"/>
            <w:noWrap/>
            <w:vAlign w:val="bottom"/>
            <w:hideMark/>
          </w:tcPr>
          <w:p w:rsidR="0067712F" w:rsidRPr="00054E92" w:rsidRDefault="0067712F" w:rsidP="0067712F">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Total Households</w:t>
            </w:r>
          </w:p>
        </w:tc>
        <w:tc>
          <w:tcPr>
            <w:tcW w:w="659"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9.5</w:t>
            </w:r>
          </w:p>
        </w:tc>
        <w:tc>
          <w:tcPr>
            <w:tcW w:w="699" w:type="dxa"/>
            <w:tcBorders>
              <w:top w:val="nil"/>
              <w:left w:val="nil"/>
              <w:bottom w:val="single" w:sz="8"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31</w:t>
            </w:r>
          </w:p>
        </w:tc>
        <w:tc>
          <w:tcPr>
            <w:tcW w:w="785"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7.2</w:t>
            </w:r>
          </w:p>
        </w:tc>
        <w:tc>
          <w:tcPr>
            <w:tcW w:w="711" w:type="dxa"/>
            <w:tcBorders>
              <w:top w:val="nil"/>
              <w:left w:val="nil"/>
              <w:bottom w:val="single" w:sz="8"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20.5</w:t>
            </w:r>
          </w:p>
        </w:tc>
        <w:tc>
          <w:tcPr>
            <w:tcW w:w="635"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7</w:t>
            </w:r>
          </w:p>
        </w:tc>
        <w:tc>
          <w:tcPr>
            <w:tcW w:w="750" w:type="dxa"/>
            <w:tcBorders>
              <w:top w:val="nil"/>
              <w:left w:val="nil"/>
              <w:bottom w:val="single" w:sz="8"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19</w:t>
            </w:r>
          </w:p>
        </w:tc>
        <w:tc>
          <w:tcPr>
            <w:tcW w:w="577"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17.6</w:t>
            </w:r>
          </w:p>
        </w:tc>
        <w:tc>
          <w:tcPr>
            <w:tcW w:w="676" w:type="dxa"/>
            <w:tcBorders>
              <w:top w:val="nil"/>
              <w:left w:val="nil"/>
              <w:bottom w:val="single" w:sz="8"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31.8</w:t>
            </w:r>
          </w:p>
        </w:tc>
        <w:tc>
          <w:tcPr>
            <w:tcW w:w="528"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7</w:t>
            </w:r>
          </w:p>
        </w:tc>
        <w:tc>
          <w:tcPr>
            <w:tcW w:w="587" w:type="dxa"/>
            <w:tcBorders>
              <w:top w:val="nil"/>
              <w:left w:val="nil"/>
              <w:bottom w:val="single" w:sz="8"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20</w:t>
            </w:r>
          </w:p>
        </w:tc>
        <w:tc>
          <w:tcPr>
            <w:tcW w:w="638"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9.1</w:t>
            </w:r>
          </w:p>
        </w:tc>
        <w:tc>
          <w:tcPr>
            <w:tcW w:w="805" w:type="dxa"/>
            <w:tcBorders>
              <w:top w:val="nil"/>
              <w:left w:val="nil"/>
              <w:bottom w:val="single" w:sz="8"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20.8</w:t>
            </w:r>
          </w:p>
        </w:tc>
        <w:tc>
          <w:tcPr>
            <w:tcW w:w="611"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8.3</w:t>
            </w:r>
          </w:p>
        </w:tc>
        <w:tc>
          <w:tcPr>
            <w:tcW w:w="836" w:type="dxa"/>
            <w:tcBorders>
              <w:top w:val="nil"/>
              <w:left w:val="nil"/>
              <w:bottom w:val="single" w:sz="8"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20.7</w:t>
            </w:r>
          </w:p>
        </w:tc>
        <w:tc>
          <w:tcPr>
            <w:tcW w:w="270" w:type="dxa"/>
            <w:tcBorders>
              <w:top w:val="nil"/>
              <w:left w:val="nil"/>
              <w:bottom w:val="nil"/>
              <w:right w:val="single" w:sz="4" w:space="0" w:color="auto"/>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71"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9.4</w:t>
            </w:r>
          </w:p>
        </w:tc>
        <w:tc>
          <w:tcPr>
            <w:tcW w:w="571" w:type="dxa"/>
            <w:tcBorders>
              <w:top w:val="nil"/>
              <w:left w:val="nil"/>
              <w:bottom w:val="single" w:sz="8" w:space="0" w:color="auto"/>
              <w:right w:val="single" w:sz="8"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23.4</w:t>
            </w:r>
          </w:p>
        </w:tc>
      </w:tr>
      <w:tr w:rsidR="0067712F" w:rsidRPr="00054E92" w:rsidTr="0038569A">
        <w:trPr>
          <w:trHeight w:val="142"/>
        </w:trPr>
        <w:tc>
          <w:tcPr>
            <w:tcW w:w="2308" w:type="dxa"/>
            <w:tcBorders>
              <w:top w:val="nil"/>
              <w:left w:val="single" w:sz="8" w:space="0" w:color="auto"/>
              <w:bottom w:val="single" w:sz="8" w:space="0" w:color="auto"/>
              <w:right w:val="single" w:sz="4" w:space="0" w:color="auto"/>
            </w:tcBorders>
            <w:shd w:val="clear" w:color="auto" w:fill="auto"/>
            <w:noWrap/>
            <w:vAlign w:val="bottom"/>
            <w:hideMark/>
          </w:tcPr>
          <w:p w:rsidR="0067712F" w:rsidRPr="00054E92" w:rsidRDefault="0067712F" w:rsidP="0067712F">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 </w:t>
            </w:r>
          </w:p>
        </w:tc>
        <w:tc>
          <w:tcPr>
            <w:tcW w:w="659"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99" w:type="dxa"/>
            <w:tcBorders>
              <w:top w:val="nil"/>
              <w:left w:val="nil"/>
              <w:bottom w:val="single" w:sz="8" w:space="0" w:color="auto"/>
              <w:right w:val="single" w:sz="4" w:space="0" w:color="auto"/>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785"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711" w:type="dxa"/>
            <w:tcBorders>
              <w:top w:val="nil"/>
              <w:left w:val="nil"/>
              <w:bottom w:val="single" w:sz="8" w:space="0" w:color="auto"/>
              <w:right w:val="single" w:sz="4" w:space="0" w:color="auto"/>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35"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750" w:type="dxa"/>
            <w:tcBorders>
              <w:top w:val="nil"/>
              <w:left w:val="nil"/>
              <w:bottom w:val="single" w:sz="8" w:space="0" w:color="auto"/>
              <w:right w:val="single" w:sz="4" w:space="0" w:color="auto"/>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77"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6" w:type="dxa"/>
            <w:tcBorders>
              <w:top w:val="nil"/>
              <w:left w:val="nil"/>
              <w:bottom w:val="single" w:sz="8" w:space="0" w:color="auto"/>
              <w:right w:val="single" w:sz="4" w:space="0" w:color="auto"/>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28"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87" w:type="dxa"/>
            <w:tcBorders>
              <w:top w:val="nil"/>
              <w:left w:val="nil"/>
              <w:bottom w:val="single" w:sz="8" w:space="0" w:color="auto"/>
              <w:right w:val="single" w:sz="4" w:space="0" w:color="auto"/>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38"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805" w:type="dxa"/>
            <w:tcBorders>
              <w:top w:val="nil"/>
              <w:left w:val="nil"/>
              <w:bottom w:val="single" w:sz="8" w:space="0" w:color="auto"/>
              <w:right w:val="single" w:sz="4" w:space="0" w:color="auto"/>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11"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836" w:type="dxa"/>
            <w:tcBorders>
              <w:top w:val="nil"/>
              <w:left w:val="nil"/>
              <w:bottom w:val="single" w:sz="8" w:space="0" w:color="auto"/>
              <w:right w:val="single" w:sz="4" w:space="0" w:color="auto"/>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270" w:type="dxa"/>
            <w:tcBorders>
              <w:top w:val="nil"/>
              <w:left w:val="nil"/>
              <w:bottom w:val="nil"/>
              <w:right w:val="single" w:sz="4" w:space="0" w:color="auto"/>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71"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xml:space="preserve"> </w:t>
            </w:r>
          </w:p>
        </w:tc>
        <w:tc>
          <w:tcPr>
            <w:tcW w:w="571" w:type="dxa"/>
            <w:tcBorders>
              <w:top w:val="nil"/>
              <w:left w:val="nil"/>
              <w:bottom w:val="single" w:sz="8" w:space="0" w:color="auto"/>
              <w:right w:val="single" w:sz="8" w:space="0" w:color="auto"/>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xml:space="preserve"> </w:t>
            </w:r>
          </w:p>
        </w:tc>
      </w:tr>
      <w:tr w:rsidR="0067712F" w:rsidRPr="00054E92" w:rsidTr="0067712F">
        <w:trPr>
          <w:trHeight w:val="300"/>
        </w:trPr>
        <w:tc>
          <w:tcPr>
            <w:tcW w:w="2308" w:type="dxa"/>
            <w:tcBorders>
              <w:top w:val="nil"/>
              <w:left w:val="single" w:sz="8" w:space="0" w:color="auto"/>
              <w:bottom w:val="single" w:sz="4" w:space="0" w:color="auto"/>
              <w:right w:val="single" w:sz="4" w:space="0" w:color="auto"/>
            </w:tcBorders>
            <w:shd w:val="clear" w:color="auto" w:fill="auto"/>
            <w:noWrap/>
            <w:vAlign w:val="bottom"/>
            <w:hideMark/>
          </w:tcPr>
          <w:p w:rsidR="0067712F" w:rsidRPr="00054E92" w:rsidRDefault="0067712F" w:rsidP="0067712F">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Asian &amp; Pacific Islander</w:t>
            </w:r>
          </w:p>
        </w:tc>
        <w:tc>
          <w:tcPr>
            <w:tcW w:w="659"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8.7</w:t>
            </w:r>
          </w:p>
        </w:tc>
        <w:tc>
          <w:tcPr>
            <w:tcW w:w="699"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26</w:t>
            </w:r>
          </w:p>
        </w:tc>
        <w:tc>
          <w:tcPr>
            <w:tcW w:w="785"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9.6</w:t>
            </w:r>
          </w:p>
        </w:tc>
        <w:tc>
          <w:tcPr>
            <w:tcW w:w="711"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27.1</w:t>
            </w:r>
          </w:p>
        </w:tc>
        <w:tc>
          <w:tcPr>
            <w:tcW w:w="635"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11</w:t>
            </w:r>
          </w:p>
        </w:tc>
        <w:tc>
          <w:tcPr>
            <w:tcW w:w="750"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26</w:t>
            </w:r>
          </w:p>
        </w:tc>
        <w:tc>
          <w:tcPr>
            <w:tcW w:w="577"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18.6</w:t>
            </w:r>
          </w:p>
        </w:tc>
        <w:tc>
          <w:tcPr>
            <w:tcW w:w="676"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39.1</w:t>
            </w:r>
          </w:p>
        </w:tc>
        <w:tc>
          <w:tcPr>
            <w:tcW w:w="528"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6</w:t>
            </w:r>
          </w:p>
        </w:tc>
        <w:tc>
          <w:tcPr>
            <w:tcW w:w="587"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17</w:t>
            </w:r>
          </w:p>
        </w:tc>
        <w:tc>
          <w:tcPr>
            <w:tcW w:w="638"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12.4</w:t>
            </w:r>
          </w:p>
        </w:tc>
        <w:tc>
          <w:tcPr>
            <w:tcW w:w="805"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26.1</w:t>
            </w:r>
          </w:p>
        </w:tc>
        <w:tc>
          <w:tcPr>
            <w:tcW w:w="611"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12.7</w:t>
            </w:r>
          </w:p>
        </w:tc>
        <w:tc>
          <w:tcPr>
            <w:tcW w:w="836"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27.8</w:t>
            </w:r>
          </w:p>
        </w:tc>
        <w:tc>
          <w:tcPr>
            <w:tcW w:w="270" w:type="dxa"/>
            <w:tcBorders>
              <w:top w:val="nil"/>
              <w:left w:val="nil"/>
              <w:bottom w:val="nil"/>
              <w:right w:val="single" w:sz="4" w:space="0" w:color="auto"/>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71"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11.3</w:t>
            </w:r>
          </w:p>
        </w:tc>
        <w:tc>
          <w:tcPr>
            <w:tcW w:w="571" w:type="dxa"/>
            <w:tcBorders>
              <w:top w:val="nil"/>
              <w:left w:val="nil"/>
              <w:bottom w:val="single" w:sz="4" w:space="0" w:color="auto"/>
              <w:right w:val="single" w:sz="8"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27.0</w:t>
            </w:r>
          </w:p>
        </w:tc>
      </w:tr>
      <w:tr w:rsidR="0067712F" w:rsidRPr="00054E92" w:rsidTr="0067712F">
        <w:trPr>
          <w:trHeight w:val="300"/>
        </w:trPr>
        <w:tc>
          <w:tcPr>
            <w:tcW w:w="2308" w:type="dxa"/>
            <w:tcBorders>
              <w:top w:val="nil"/>
              <w:left w:val="single" w:sz="8" w:space="0" w:color="auto"/>
              <w:bottom w:val="single" w:sz="4" w:space="0" w:color="auto"/>
              <w:right w:val="single" w:sz="4" w:space="0" w:color="auto"/>
            </w:tcBorders>
            <w:shd w:val="clear" w:color="auto" w:fill="auto"/>
            <w:noWrap/>
            <w:vAlign w:val="bottom"/>
            <w:hideMark/>
          </w:tcPr>
          <w:p w:rsidR="0067712F" w:rsidRPr="00054E92" w:rsidRDefault="0067712F" w:rsidP="0067712F">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African-American/Black</w:t>
            </w:r>
          </w:p>
        </w:tc>
        <w:tc>
          <w:tcPr>
            <w:tcW w:w="659"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16</w:t>
            </w:r>
          </w:p>
        </w:tc>
        <w:tc>
          <w:tcPr>
            <w:tcW w:w="699"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39.2</w:t>
            </w:r>
          </w:p>
        </w:tc>
        <w:tc>
          <w:tcPr>
            <w:tcW w:w="785"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14.5</w:t>
            </w:r>
          </w:p>
        </w:tc>
        <w:tc>
          <w:tcPr>
            <w:tcW w:w="711"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34.2</w:t>
            </w:r>
          </w:p>
        </w:tc>
        <w:tc>
          <w:tcPr>
            <w:tcW w:w="635"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16</w:t>
            </w:r>
          </w:p>
        </w:tc>
        <w:tc>
          <w:tcPr>
            <w:tcW w:w="750"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39</w:t>
            </w:r>
          </w:p>
        </w:tc>
        <w:tc>
          <w:tcPr>
            <w:tcW w:w="577"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30.2</w:t>
            </w:r>
          </w:p>
        </w:tc>
        <w:tc>
          <w:tcPr>
            <w:tcW w:w="676"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49</w:t>
            </w:r>
          </w:p>
        </w:tc>
        <w:tc>
          <w:tcPr>
            <w:tcW w:w="528"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15</w:t>
            </w:r>
          </w:p>
        </w:tc>
        <w:tc>
          <w:tcPr>
            <w:tcW w:w="587"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34</w:t>
            </w:r>
          </w:p>
        </w:tc>
        <w:tc>
          <w:tcPr>
            <w:tcW w:w="638"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22.8</w:t>
            </w:r>
          </w:p>
        </w:tc>
        <w:tc>
          <w:tcPr>
            <w:tcW w:w="805"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41.2</w:t>
            </w:r>
          </w:p>
        </w:tc>
        <w:tc>
          <w:tcPr>
            <w:tcW w:w="611"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14.9</w:t>
            </w:r>
          </w:p>
        </w:tc>
        <w:tc>
          <w:tcPr>
            <w:tcW w:w="836"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34.8</w:t>
            </w:r>
          </w:p>
        </w:tc>
        <w:tc>
          <w:tcPr>
            <w:tcW w:w="270" w:type="dxa"/>
            <w:tcBorders>
              <w:top w:val="nil"/>
              <w:left w:val="nil"/>
              <w:bottom w:val="nil"/>
              <w:right w:val="single" w:sz="4" w:space="0" w:color="auto"/>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71"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18.5</w:t>
            </w:r>
          </w:p>
        </w:tc>
        <w:tc>
          <w:tcPr>
            <w:tcW w:w="571" w:type="dxa"/>
            <w:tcBorders>
              <w:top w:val="nil"/>
              <w:left w:val="nil"/>
              <w:bottom w:val="single" w:sz="4" w:space="0" w:color="auto"/>
              <w:right w:val="single" w:sz="8"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38.8</w:t>
            </w:r>
          </w:p>
        </w:tc>
      </w:tr>
      <w:tr w:rsidR="0067712F" w:rsidRPr="00054E92" w:rsidTr="0067712F">
        <w:trPr>
          <w:trHeight w:val="300"/>
        </w:trPr>
        <w:tc>
          <w:tcPr>
            <w:tcW w:w="2308" w:type="dxa"/>
            <w:tcBorders>
              <w:top w:val="nil"/>
              <w:left w:val="single" w:sz="8" w:space="0" w:color="auto"/>
              <w:bottom w:val="single" w:sz="4" w:space="0" w:color="auto"/>
              <w:right w:val="single" w:sz="4" w:space="0" w:color="auto"/>
            </w:tcBorders>
            <w:shd w:val="clear" w:color="auto" w:fill="auto"/>
            <w:noWrap/>
            <w:vAlign w:val="bottom"/>
            <w:hideMark/>
          </w:tcPr>
          <w:p w:rsidR="0067712F" w:rsidRPr="00054E92" w:rsidRDefault="0067712F" w:rsidP="0067712F">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Latino/Hispanic</w:t>
            </w:r>
          </w:p>
        </w:tc>
        <w:tc>
          <w:tcPr>
            <w:tcW w:w="659"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14.5</w:t>
            </w:r>
          </w:p>
        </w:tc>
        <w:tc>
          <w:tcPr>
            <w:tcW w:w="699"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51.9</w:t>
            </w:r>
          </w:p>
        </w:tc>
        <w:tc>
          <w:tcPr>
            <w:tcW w:w="785"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16.6</w:t>
            </w:r>
          </w:p>
        </w:tc>
        <w:tc>
          <w:tcPr>
            <w:tcW w:w="711"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42.7</w:t>
            </w:r>
          </w:p>
        </w:tc>
        <w:tc>
          <w:tcPr>
            <w:tcW w:w="635"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23</w:t>
            </w:r>
          </w:p>
        </w:tc>
        <w:tc>
          <w:tcPr>
            <w:tcW w:w="750"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51</w:t>
            </w:r>
          </w:p>
        </w:tc>
        <w:tc>
          <w:tcPr>
            <w:tcW w:w="577"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20.6</w:t>
            </w:r>
          </w:p>
        </w:tc>
        <w:tc>
          <w:tcPr>
            <w:tcW w:w="676"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48.2</w:t>
            </w:r>
          </w:p>
        </w:tc>
        <w:tc>
          <w:tcPr>
            <w:tcW w:w="528"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13</w:t>
            </w:r>
          </w:p>
        </w:tc>
        <w:tc>
          <w:tcPr>
            <w:tcW w:w="587"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42</w:t>
            </w:r>
          </w:p>
        </w:tc>
        <w:tc>
          <w:tcPr>
            <w:tcW w:w="638"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24</w:t>
            </w:r>
          </w:p>
        </w:tc>
        <w:tc>
          <w:tcPr>
            <w:tcW w:w="805"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50.3</w:t>
            </w:r>
          </w:p>
        </w:tc>
        <w:tc>
          <w:tcPr>
            <w:tcW w:w="611"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19.6</w:t>
            </w:r>
          </w:p>
        </w:tc>
        <w:tc>
          <w:tcPr>
            <w:tcW w:w="836"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45.9</w:t>
            </w:r>
          </w:p>
        </w:tc>
        <w:tc>
          <w:tcPr>
            <w:tcW w:w="270" w:type="dxa"/>
            <w:tcBorders>
              <w:top w:val="nil"/>
              <w:left w:val="nil"/>
              <w:bottom w:val="nil"/>
              <w:right w:val="single" w:sz="4" w:space="0" w:color="auto"/>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71"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18.8</w:t>
            </w:r>
          </w:p>
        </w:tc>
        <w:tc>
          <w:tcPr>
            <w:tcW w:w="571" w:type="dxa"/>
            <w:tcBorders>
              <w:top w:val="nil"/>
              <w:left w:val="nil"/>
              <w:bottom w:val="single" w:sz="4" w:space="0" w:color="auto"/>
              <w:right w:val="single" w:sz="8"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47.4</w:t>
            </w:r>
          </w:p>
        </w:tc>
      </w:tr>
      <w:tr w:rsidR="0067712F" w:rsidRPr="00054E92" w:rsidTr="0067712F">
        <w:trPr>
          <w:trHeight w:val="300"/>
        </w:trPr>
        <w:tc>
          <w:tcPr>
            <w:tcW w:w="2308" w:type="dxa"/>
            <w:tcBorders>
              <w:top w:val="nil"/>
              <w:left w:val="single" w:sz="8" w:space="0" w:color="auto"/>
              <w:bottom w:val="single" w:sz="4" w:space="0" w:color="auto"/>
              <w:right w:val="single" w:sz="4" w:space="0" w:color="auto"/>
            </w:tcBorders>
            <w:shd w:val="clear" w:color="auto" w:fill="auto"/>
            <w:noWrap/>
            <w:vAlign w:val="bottom"/>
            <w:hideMark/>
          </w:tcPr>
          <w:p w:rsidR="0067712F" w:rsidRPr="00054E92" w:rsidRDefault="0067712F" w:rsidP="0067712F">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White</w:t>
            </w:r>
          </w:p>
        </w:tc>
        <w:tc>
          <w:tcPr>
            <w:tcW w:w="659"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5.8</w:t>
            </w:r>
          </w:p>
        </w:tc>
        <w:tc>
          <w:tcPr>
            <w:tcW w:w="699"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18.4</w:t>
            </w:r>
          </w:p>
        </w:tc>
        <w:tc>
          <w:tcPr>
            <w:tcW w:w="785"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5.3</w:t>
            </w:r>
          </w:p>
        </w:tc>
        <w:tc>
          <w:tcPr>
            <w:tcW w:w="711"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16.1</w:t>
            </w:r>
          </w:p>
        </w:tc>
        <w:tc>
          <w:tcPr>
            <w:tcW w:w="635"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4</w:t>
            </w:r>
          </w:p>
        </w:tc>
        <w:tc>
          <w:tcPr>
            <w:tcW w:w="750"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14</w:t>
            </w:r>
          </w:p>
        </w:tc>
        <w:tc>
          <w:tcPr>
            <w:tcW w:w="577"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10.3</w:t>
            </w:r>
          </w:p>
        </w:tc>
        <w:tc>
          <w:tcPr>
            <w:tcW w:w="676"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21.3</w:t>
            </w:r>
          </w:p>
        </w:tc>
        <w:tc>
          <w:tcPr>
            <w:tcW w:w="528"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4</w:t>
            </w:r>
          </w:p>
        </w:tc>
        <w:tc>
          <w:tcPr>
            <w:tcW w:w="587"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13</w:t>
            </w:r>
          </w:p>
        </w:tc>
        <w:tc>
          <w:tcPr>
            <w:tcW w:w="638"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6.6</w:t>
            </w:r>
          </w:p>
        </w:tc>
        <w:tc>
          <w:tcPr>
            <w:tcW w:w="805"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16.8</w:t>
            </w:r>
          </w:p>
        </w:tc>
        <w:tc>
          <w:tcPr>
            <w:tcW w:w="611"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6.8</w:t>
            </w:r>
          </w:p>
        </w:tc>
        <w:tc>
          <w:tcPr>
            <w:tcW w:w="836"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17.6</w:t>
            </w:r>
          </w:p>
        </w:tc>
        <w:tc>
          <w:tcPr>
            <w:tcW w:w="270" w:type="dxa"/>
            <w:tcBorders>
              <w:top w:val="nil"/>
              <w:left w:val="nil"/>
              <w:bottom w:val="nil"/>
              <w:right w:val="single" w:sz="4" w:space="0" w:color="auto"/>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71"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6.1</w:t>
            </w:r>
          </w:p>
        </w:tc>
        <w:tc>
          <w:tcPr>
            <w:tcW w:w="571" w:type="dxa"/>
            <w:tcBorders>
              <w:top w:val="nil"/>
              <w:left w:val="nil"/>
              <w:bottom w:val="single" w:sz="4" w:space="0" w:color="auto"/>
              <w:right w:val="single" w:sz="8"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16.7</w:t>
            </w:r>
          </w:p>
        </w:tc>
      </w:tr>
      <w:tr w:rsidR="0067712F" w:rsidRPr="00054E92" w:rsidTr="0067712F">
        <w:trPr>
          <w:trHeight w:val="300"/>
        </w:trPr>
        <w:tc>
          <w:tcPr>
            <w:tcW w:w="2308" w:type="dxa"/>
            <w:tcBorders>
              <w:top w:val="nil"/>
              <w:left w:val="single" w:sz="8" w:space="0" w:color="auto"/>
              <w:bottom w:val="single" w:sz="4" w:space="0" w:color="auto"/>
              <w:right w:val="single" w:sz="4" w:space="0" w:color="auto"/>
            </w:tcBorders>
            <w:shd w:val="clear" w:color="auto" w:fill="auto"/>
            <w:noWrap/>
            <w:vAlign w:val="bottom"/>
            <w:hideMark/>
          </w:tcPr>
          <w:p w:rsidR="0067712F" w:rsidRPr="00054E92" w:rsidRDefault="0067712F" w:rsidP="0067712F">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Native American</w:t>
            </w:r>
          </w:p>
        </w:tc>
        <w:tc>
          <w:tcPr>
            <w:tcW w:w="659"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99"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785"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13.1</w:t>
            </w:r>
          </w:p>
        </w:tc>
        <w:tc>
          <w:tcPr>
            <w:tcW w:w="711"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32.9</w:t>
            </w:r>
          </w:p>
        </w:tc>
        <w:tc>
          <w:tcPr>
            <w:tcW w:w="635"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9</w:t>
            </w:r>
          </w:p>
        </w:tc>
        <w:tc>
          <w:tcPr>
            <w:tcW w:w="750"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27</w:t>
            </w:r>
          </w:p>
        </w:tc>
        <w:tc>
          <w:tcPr>
            <w:tcW w:w="577"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6"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28"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87"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38"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805"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11"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16.7</w:t>
            </w:r>
          </w:p>
        </w:tc>
        <w:tc>
          <w:tcPr>
            <w:tcW w:w="836" w:type="dxa"/>
            <w:tcBorders>
              <w:top w:val="nil"/>
              <w:left w:val="nil"/>
              <w:bottom w:val="single" w:sz="4"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35.4</w:t>
            </w:r>
          </w:p>
        </w:tc>
        <w:tc>
          <w:tcPr>
            <w:tcW w:w="270" w:type="dxa"/>
            <w:tcBorders>
              <w:top w:val="nil"/>
              <w:left w:val="nil"/>
              <w:bottom w:val="nil"/>
              <w:right w:val="single" w:sz="4" w:space="0" w:color="auto"/>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71" w:type="dxa"/>
            <w:tcBorders>
              <w:top w:val="nil"/>
              <w:left w:val="nil"/>
              <w:bottom w:val="single" w:sz="4"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71" w:type="dxa"/>
            <w:tcBorders>
              <w:top w:val="nil"/>
              <w:left w:val="nil"/>
              <w:bottom w:val="single" w:sz="4" w:space="0" w:color="auto"/>
              <w:right w:val="single" w:sz="8" w:space="0" w:color="auto"/>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r>
      <w:tr w:rsidR="0067712F" w:rsidRPr="00054E92" w:rsidTr="0067712F">
        <w:trPr>
          <w:trHeight w:val="315"/>
        </w:trPr>
        <w:tc>
          <w:tcPr>
            <w:tcW w:w="2308" w:type="dxa"/>
            <w:tcBorders>
              <w:top w:val="nil"/>
              <w:left w:val="single" w:sz="8" w:space="0" w:color="auto"/>
              <w:bottom w:val="single" w:sz="8" w:space="0" w:color="auto"/>
              <w:right w:val="single" w:sz="4" w:space="0" w:color="auto"/>
            </w:tcBorders>
            <w:shd w:val="clear" w:color="auto" w:fill="auto"/>
            <w:noWrap/>
            <w:vAlign w:val="bottom"/>
            <w:hideMark/>
          </w:tcPr>
          <w:p w:rsidR="0067712F" w:rsidRPr="00054E92" w:rsidRDefault="0067712F" w:rsidP="0067712F">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Other</w:t>
            </w:r>
          </w:p>
        </w:tc>
        <w:tc>
          <w:tcPr>
            <w:tcW w:w="659"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99" w:type="dxa"/>
            <w:tcBorders>
              <w:top w:val="nil"/>
              <w:left w:val="nil"/>
              <w:bottom w:val="single" w:sz="8"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785"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711" w:type="dxa"/>
            <w:tcBorders>
              <w:top w:val="nil"/>
              <w:left w:val="nil"/>
              <w:bottom w:val="single" w:sz="8"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35"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750" w:type="dxa"/>
            <w:tcBorders>
              <w:top w:val="nil"/>
              <w:left w:val="nil"/>
              <w:bottom w:val="single" w:sz="8"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77"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12.1</w:t>
            </w:r>
          </w:p>
        </w:tc>
        <w:tc>
          <w:tcPr>
            <w:tcW w:w="676" w:type="dxa"/>
            <w:tcBorders>
              <w:top w:val="nil"/>
              <w:left w:val="nil"/>
              <w:bottom w:val="single" w:sz="8"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29.7</w:t>
            </w:r>
          </w:p>
        </w:tc>
        <w:tc>
          <w:tcPr>
            <w:tcW w:w="528"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7</w:t>
            </w:r>
          </w:p>
        </w:tc>
        <w:tc>
          <w:tcPr>
            <w:tcW w:w="587" w:type="dxa"/>
            <w:tcBorders>
              <w:top w:val="nil"/>
              <w:left w:val="nil"/>
              <w:bottom w:val="single" w:sz="8"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34</w:t>
            </w:r>
          </w:p>
        </w:tc>
        <w:tc>
          <w:tcPr>
            <w:tcW w:w="638"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805" w:type="dxa"/>
            <w:tcBorders>
              <w:top w:val="nil"/>
              <w:left w:val="nil"/>
              <w:bottom w:val="single" w:sz="8"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11"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836" w:type="dxa"/>
            <w:tcBorders>
              <w:top w:val="nil"/>
              <w:left w:val="nil"/>
              <w:bottom w:val="single" w:sz="8" w:space="0" w:color="auto"/>
              <w:right w:val="single" w:sz="4" w:space="0" w:color="auto"/>
            </w:tcBorders>
            <w:shd w:val="clear" w:color="000000" w:fill="D9D9D9"/>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270" w:type="dxa"/>
            <w:tcBorders>
              <w:top w:val="nil"/>
              <w:left w:val="nil"/>
              <w:bottom w:val="single" w:sz="8" w:space="0" w:color="auto"/>
              <w:right w:val="single" w:sz="4" w:space="0" w:color="auto"/>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71"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71" w:type="dxa"/>
            <w:tcBorders>
              <w:top w:val="nil"/>
              <w:left w:val="nil"/>
              <w:bottom w:val="single" w:sz="8" w:space="0" w:color="auto"/>
              <w:right w:val="single" w:sz="8" w:space="0" w:color="auto"/>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r>
      <w:tr w:rsidR="0067712F" w:rsidRPr="00054E92" w:rsidTr="0038569A">
        <w:trPr>
          <w:trHeight w:val="70"/>
        </w:trPr>
        <w:tc>
          <w:tcPr>
            <w:tcW w:w="2308" w:type="dxa"/>
            <w:tcBorders>
              <w:top w:val="nil"/>
              <w:left w:val="single" w:sz="8" w:space="0" w:color="auto"/>
              <w:bottom w:val="single" w:sz="8" w:space="0" w:color="auto"/>
              <w:right w:val="nil"/>
            </w:tcBorders>
            <w:shd w:val="clear" w:color="auto" w:fill="auto"/>
            <w:vAlign w:val="bottom"/>
            <w:hideMark/>
          </w:tcPr>
          <w:p w:rsidR="0067712F" w:rsidRPr="00054E92" w:rsidRDefault="0067712F" w:rsidP="00054E92">
            <w:pPr>
              <w:spacing w:after="0" w:line="240" w:lineRule="auto"/>
              <w:ind w:firstLineChars="100" w:firstLine="240"/>
              <w:rPr>
                <w:rFonts w:eastAsia="Times New Roman" w:cstheme="minorHAnsi"/>
                <w:i/>
                <w:iCs/>
                <w:color w:val="000000"/>
                <w:sz w:val="24"/>
                <w:szCs w:val="24"/>
              </w:rPr>
            </w:pPr>
            <w:r w:rsidRPr="00054E92">
              <w:rPr>
                <w:rFonts w:eastAsia="Times New Roman" w:cstheme="minorHAnsi"/>
                <w:i/>
                <w:iCs/>
                <w:color w:val="000000"/>
                <w:sz w:val="24"/>
                <w:szCs w:val="24"/>
              </w:rPr>
              <w:t> </w:t>
            </w:r>
          </w:p>
        </w:tc>
        <w:tc>
          <w:tcPr>
            <w:tcW w:w="659"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99"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785"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711"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35"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750"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77"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6"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28"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87"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38"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805"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11"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836"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270"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71" w:type="dxa"/>
            <w:tcBorders>
              <w:top w:val="nil"/>
              <w:left w:val="nil"/>
              <w:bottom w:val="single" w:sz="8" w:space="0" w:color="auto"/>
              <w:right w:val="nil"/>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71" w:type="dxa"/>
            <w:tcBorders>
              <w:top w:val="nil"/>
              <w:left w:val="nil"/>
              <w:bottom w:val="single" w:sz="8" w:space="0" w:color="auto"/>
              <w:right w:val="single" w:sz="8" w:space="0" w:color="auto"/>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r>
      <w:tr w:rsidR="0067712F" w:rsidRPr="00054E92" w:rsidTr="0067712F">
        <w:trPr>
          <w:trHeight w:val="315"/>
        </w:trPr>
        <w:tc>
          <w:tcPr>
            <w:tcW w:w="2308"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67712F" w:rsidRPr="00054E92" w:rsidRDefault="0067712F" w:rsidP="0067712F">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Data Source:</w:t>
            </w:r>
          </w:p>
        </w:tc>
        <w:tc>
          <w:tcPr>
            <w:tcW w:w="1358" w:type="dxa"/>
            <w:gridSpan w:val="2"/>
            <w:tcBorders>
              <w:top w:val="single" w:sz="8" w:space="0" w:color="auto"/>
              <w:left w:val="nil"/>
              <w:bottom w:val="single" w:sz="8" w:space="0" w:color="auto"/>
              <w:right w:val="single" w:sz="4" w:space="0" w:color="000000"/>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ACS 2007</w:t>
            </w:r>
          </w:p>
        </w:tc>
        <w:tc>
          <w:tcPr>
            <w:tcW w:w="1496" w:type="dxa"/>
            <w:gridSpan w:val="2"/>
            <w:tcBorders>
              <w:top w:val="single" w:sz="8" w:space="0" w:color="auto"/>
              <w:left w:val="nil"/>
              <w:bottom w:val="single" w:sz="8" w:space="0" w:color="auto"/>
              <w:right w:val="single" w:sz="4" w:space="0" w:color="000000"/>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Census 2000</w:t>
            </w:r>
          </w:p>
        </w:tc>
        <w:tc>
          <w:tcPr>
            <w:tcW w:w="1385" w:type="dxa"/>
            <w:gridSpan w:val="2"/>
            <w:tcBorders>
              <w:top w:val="single" w:sz="8" w:space="0" w:color="auto"/>
              <w:left w:val="nil"/>
              <w:bottom w:val="single" w:sz="8" w:space="0" w:color="auto"/>
              <w:right w:val="single" w:sz="4" w:space="0" w:color="000000"/>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Census 2000</w:t>
            </w:r>
          </w:p>
        </w:tc>
        <w:tc>
          <w:tcPr>
            <w:tcW w:w="1253" w:type="dxa"/>
            <w:gridSpan w:val="2"/>
            <w:tcBorders>
              <w:top w:val="single" w:sz="8" w:space="0" w:color="auto"/>
              <w:left w:val="nil"/>
              <w:bottom w:val="single" w:sz="8" w:space="0" w:color="auto"/>
              <w:right w:val="single" w:sz="4" w:space="0" w:color="000000"/>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ACS 2007</w:t>
            </w:r>
          </w:p>
        </w:tc>
        <w:tc>
          <w:tcPr>
            <w:tcW w:w="1115" w:type="dxa"/>
            <w:gridSpan w:val="2"/>
            <w:tcBorders>
              <w:top w:val="single" w:sz="8" w:space="0" w:color="auto"/>
              <w:left w:val="nil"/>
              <w:bottom w:val="single" w:sz="8" w:space="0" w:color="auto"/>
              <w:right w:val="single" w:sz="4" w:space="0" w:color="000000"/>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ACS 2005</w:t>
            </w:r>
          </w:p>
        </w:tc>
        <w:tc>
          <w:tcPr>
            <w:tcW w:w="1443" w:type="dxa"/>
            <w:gridSpan w:val="2"/>
            <w:tcBorders>
              <w:top w:val="single" w:sz="8" w:space="0" w:color="auto"/>
              <w:left w:val="nil"/>
              <w:bottom w:val="single" w:sz="8" w:space="0" w:color="auto"/>
              <w:right w:val="single" w:sz="4" w:space="0" w:color="000000"/>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ACS 2007</w:t>
            </w:r>
          </w:p>
        </w:tc>
        <w:tc>
          <w:tcPr>
            <w:tcW w:w="1447" w:type="dxa"/>
            <w:gridSpan w:val="2"/>
            <w:tcBorders>
              <w:top w:val="single" w:sz="8" w:space="0" w:color="auto"/>
              <w:left w:val="nil"/>
              <w:bottom w:val="single" w:sz="8" w:space="0" w:color="auto"/>
              <w:right w:val="single" w:sz="4" w:space="0" w:color="000000"/>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Census 2000</w:t>
            </w:r>
          </w:p>
        </w:tc>
        <w:tc>
          <w:tcPr>
            <w:tcW w:w="270" w:type="dxa"/>
            <w:tcBorders>
              <w:top w:val="nil"/>
              <w:left w:val="nil"/>
              <w:bottom w:val="single" w:sz="8" w:space="0" w:color="auto"/>
              <w:right w:val="single" w:sz="4" w:space="0" w:color="auto"/>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114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7712F" w:rsidRPr="00054E92" w:rsidRDefault="0067712F" w:rsidP="0067712F">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r>
    </w:tbl>
    <w:p w:rsidR="00050B3D" w:rsidRPr="00054E92" w:rsidRDefault="00050B3D">
      <w:pPr>
        <w:rPr>
          <w:rFonts w:cstheme="minorHAnsi"/>
          <w:b/>
          <w:sz w:val="24"/>
          <w:szCs w:val="24"/>
          <w:u w:val="single"/>
        </w:rPr>
      </w:pPr>
    </w:p>
    <w:p w:rsidR="00050B3D" w:rsidRPr="00054E92" w:rsidRDefault="00050B3D">
      <w:pPr>
        <w:rPr>
          <w:rFonts w:cstheme="minorHAnsi"/>
          <w:b/>
          <w:sz w:val="24"/>
          <w:szCs w:val="24"/>
          <w:u w:val="single"/>
        </w:rPr>
      </w:pPr>
      <w:r w:rsidRPr="00054E92">
        <w:rPr>
          <w:rFonts w:cstheme="minorHAnsi"/>
          <w:b/>
          <w:sz w:val="24"/>
          <w:szCs w:val="24"/>
          <w:u w:val="single"/>
        </w:rPr>
        <w:br w:type="page"/>
      </w:r>
    </w:p>
    <w:p w:rsidR="0038569A" w:rsidRPr="00054E92" w:rsidRDefault="0038569A">
      <w:pPr>
        <w:rPr>
          <w:rFonts w:cstheme="minorHAnsi"/>
          <w:b/>
          <w:sz w:val="24"/>
          <w:szCs w:val="24"/>
          <w:u w:val="single"/>
        </w:rPr>
      </w:pPr>
    </w:p>
    <w:tbl>
      <w:tblPr>
        <w:tblW w:w="13100" w:type="dxa"/>
        <w:tblInd w:w="93" w:type="dxa"/>
        <w:tblLook w:val="04A0" w:firstRow="1" w:lastRow="0" w:firstColumn="1" w:lastColumn="0" w:noHBand="0" w:noVBand="1"/>
      </w:tblPr>
      <w:tblGrid>
        <w:gridCol w:w="2580"/>
        <w:gridCol w:w="678"/>
        <w:gridCol w:w="678"/>
        <w:gridCol w:w="556"/>
        <w:gridCol w:w="678"/>
        <w:gridCol w:w="703"/>
        <w:gridCol w:w="703"/>
        <w:gridCol w:w="678"/>
        <w:gridCol w:w="678"/>
        <w:gridCol w:w="556"/>
        <w:gridCol w:w="557"/>
        <w:gridCol w:w="765"/>
        <w:gridCol w:w="765"/>
        <w:gridCol w:w="710"/>
        <w:gridCol w:w="710"/>
        <w:gridCol w:w="271"/>
        <w:gridCol w:w="678"/>
        <w:gridCol w:w="678"/>
      </w:tblGrid>
      <w:tr w:rsidR="0038569A" w:rsidRPr="00054E92" w:rsidTr="0038569A">
        <w:trPr>
          <w:trHeight w:val="315"/>
        </w:trPr>
        <w:tc>
          <w:tcPr>
            <w:tcW w:w="13100" w:type="dxa"/>
            <w:gridSpan w:val="18"/>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Table 4. Percent of Households Below the FPL and SSS in Select States by Household Type and Number of Workers</w:t>
            </w:r>
          </w:p>
        </w:tc>
      </w:tr>
      <w:tr w:rsidR="0038569A" w:rsidRPr="00054E92" w:rsidTr="0038569A">
        <w:trPr>
          <w:trHeight w:val="255"/>
        </w:trPr>
        <w:tc>
          <w:tcPr>
            <w:tcW w:w="2738" w:type="dxa"/>
            <w:vMerge w:val="restart"/>
            <w:tcBorders>
              <w:top w:val="nil"/>
              <w:left w:val="single" w:sz="8" w:space="0" w:color="auto"/>
              <w:bottom w:val="single" w:sz="8" w:space="0" w:color="000000"/>
              <w:right w:val="single" w:sz="4" w:space="0" w:color="auto"/>
            </w:tcBorders>
            <w:shd w:val="clear" w:color="auto" w:fill="auto"/>
            <w:vAlign w:val="bottom"/>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 </w:t>
            </w:r>
          </w:p>
        </w:tc>
        <w:tc>
          <w:tcPr>
            <w:tcW w:w="1356" w:type="dxa"/>
            <w:gridSpan w:val="2"/>
            <w:tcBorders>
              <w:top w:val="single" w:sz="8" w:space="0" w:color="auto"/>
              <w:left w:val="nil"/>
              <w:bottom w:val="single" w:sz="8" w:space="0" w:color="auto"/>
              <w:right w:val="single" w:sz="4" w:space="0" w:color="000000"/>
            </w:tcBorders>
            <w:shd w:val="clear" w:color="000000" w:fill="D9D9D9"/>
            <w:noWrap/>
            <w:vAlign w:val="center"/>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California</w:t>
            </w:r>
          </w:p>
        </w:tc>
        <w:tc>
          <w:tcPr>
            <w:tcW w:w="1229" w:type="dxa"/>
            <w:gridSpan w:val="2"/>
            <w:tcBorders>
              <w:top w:val="single" w:sz="8" w:space="0" w:color="auto"/>
              <w:left w:val="nil"/>
              <w:bottom w:val="single" w:sz="8" w:space="0" w:color="auto"/>
              <w:right w:val="single" w:sz="4" w:space="0" w:color="000000"/>
            </w:tcBorders>
            <w:shd w:val="clear" w:color="000000" w:fill="D9D9D9"/>
            <w:noWrap/>
            <w:vAlign w:val="center"/>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Colorado</w:t>
            </w:r>
          </w:p>
        </w:tc>
        <w:tc>
          <w:tcPr>
            <w:tcW w:w="1122" w:type="dxa"/>
            <w:gridSpan w:val="2"/>
            <w:tcBorders>
              <w:top w:val="single" w:sz="8" w:space="0" w:color="auto"/>
              <w:left w:val="nil"/>
              <w:bottom w:val="single" w:sz="8" w:space="0" w:color="auto"/>
              <w:right w:val="single" w:sz="4" w:space="0" w:color="000000"/>
            </w:tcBorders>
            <w:shd w:val="clear" w:color="000000" w:fill="D9D9D9"/>
            <w:noWrap/>
            <w:vAlign w:val="center"/>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Connecticut</w:t>
            </w:r>
          </w:p>
        </w:tc>
        <w:tc>
          <w:tcPr>
            <w:tcW w:w="1356" w:type="dxa"/>
            <w:gridSpan w:val="2"/>
            <w:tcBorders>
              <w:top w:val="single" w:sz="8" w:space="0" w:color="auto"/>
              <w:left w:val="nil"/>
              <w:bottom w:val="single" w:sz="8" w:space="0" w:color="auto"/>
              <w:right w:val="single" w:sz="4" w:space="0" w:color="000000"/>
            </w:tcBorders>
            <w:shd w:val="clear" w:color="000000" w:fill="D9D9D9"/>
            <w:noWrap/>
            <w:vAlign w:val="center"/>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Mississippi</w:t>
            </w:r>
          </w:p>
        </w:tc>
        <w:tc>
          <w:tcPr>
            <w:tcW w:w="1102" w:type="dxa"/>
            <w:gridSpan w:val="2"/>
            <w:tcBorders>
              <w:top w:val="single" w:sz="8" w:space="0" w:color="auto"/>
              <w:left w:val="nil"/>
              <w:bottom w:val="single" w:sz="8" w:space="0" w:color="auto"/>
              <w:right w:val="single" w:sz="4" w:space="0" w:color="000000"/>
            </w:tcBorders>
            <w:shd w:val="clear" w:color="000000" w:fill="D9D9D9"/>
            <w:noWrap/>
            <w:vAlign w:val="center"/>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New Jersey</w:t>
            </w:r>
          </w:p>
        </w:tc>
        <w:tc>
          <w:tcPr>
            <w:tcW w:w="1356" w:type="dxa"/>
            <w:gridSpan w:val="2"/>
            <w:tcBorders>
              <w:top w:val="single" w:sz="8" w:space="0" w:color="auto"/>
              <w:left w:val="nil"/>
              <w:bottom w:val="single" w:sz="8" w:space="0" w:color="auto"/>
              <w:right w:val="single" w:sz="4" w:space="0" w:color="000000"/>
            </w:tcBorders>
            <w:shd w:val="clear" w:color="000000" w:fill="D9D9D9"/>
            <w:noWrap/>
            <w:vAlign w:val="center"/>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Pennsylvania</w:t>
            </w:r>
          </w:p>
        </w:tc>
        <w:tc>
          <w:tcPr>
            <w:tcW w:w="1356" w:type="dxa"/>
            <w:gridSpan w:val="2"/>
            <w:tcBorders>
              <w:top w:val="single" w:sz="8" w:space="0" w:color="auto"/>
              <w:left w:val="nil"/>
              <w:bottom w:val="single" w:sz="8" w:space="0" w:color="auto"/>
              <w:right w:val="single" w:sz="4" w:space="0" w:color="000000"/>
            </w:tcBorders>
            <w:shd w:val="clear" w:color="000000" w:fill="D9D9D9"/>
            <w:noWrap/>
            <w:vAlign w:val="center"/>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Washington</w:t>
            </w:r>
          </w:p>
        </w:tc>
        <w:tc>
          <w:tcPr>
            <w:tcW w:w="129" w:type="dxa"/>
            <w:tcBorders>
              <w:top w:val="nil"/>
              <w:left w:val="nil"/>
              <w:bottom w:val="nil"/>
              <w:right w:val="single" w:sz="4" w:space="0" w:color="auto"/>
            </w:tcBorders>
            <w:shd w:val="clear" w:color="auto" w:fill="auto"/>
            <w:noWrap/>
            <w:vAlign w:val="center"/>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 </w:t>
            </w:r>
          </w:p>
        </w:tc>
        <w:tc>
          <w:tcPr>
            <w:tcW w:w="1356"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Total</w:t>
            </w:r>
          </w:p>
        </w:tc>
      </w:tr>
      <w:tr w:rsidR="0038569A" w:rsidRPr="00054E92" w:rsidTr="0038569A">
        <w:trPr>
          <w:trHeight w:val="270"/>
        </w:trPr>
        <w:tc>
          <w:tcPr>
            <w:tcW w:w="2738" w:type="dxa"/>
            <w:vMerge/>
            <w:tcBorders>
              <w:top w:val="nil"/>
              <w:left w:val="single" w:sz="8" w:space="0" w:color="auto"/>
              <w:bottom w:val="single" w:sz="8" w:space="0" w:color="000000"/>
              <w:right w:val="single" w:sz="4" w:space="0" w:color="auto"/>
            </w:tcBorders>
            <w:vAlign w:val="center"/>
            <w:hideMark/>
          </w:tcPr>
          <w:p w:rsidR="0038569A" w:rsidRPr="00054E92" w:rsidRDefault="0038569A" w:rsidP="0038569A">
            <w:pPr>
              <w:spacing w:after="0" w:line="240" w:lineRule="auto"/>
              <w:rPr>
                <w:rFonts w:eastAsia="Times New Roman" w:cstheme="minorHAnsi"/>
                <w:b/>
                <w:bCs/>
                <w:color w:val="000000"/>
                <w:sz w:val="24"/>
                <w:szCs w:val="24"/>
              </w:rPr>
            </w:pPr>
          </w:p>
        </w:tc>
        <w:tc>
          <w:tcPr>
            <w:tcW w:w="678"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FPL</w:t>
            </w:r>
          </w:p>
        </w:tc>
        <w:tc>
          <w:tcPr>
            <w:tcW w:w="678" w:type="dxa"/>
            <w:tcBorders>
              <w:top w:val="nil"/>
              <w:left w:val="nil"/>
              <w:bottom w:val="single" w:sz="8"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SSS</w:t>
            </w:r>
          </w:p>
        </w:tc>
        <w:tc>
          <w:tcPr>
            <w:tcW w:w="551"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FPL</w:t>
            </w:r>
          </w:p>
        </w:tc>
        <w:tc>
          <w:tcPr>
            <w:tcW w:w="678" w:type="dxa"/>
            <w:tcBorders>
              <w:top w:val="nil"/>
              <w:left w:val="nil"/>
              <w:bottom w:val="single" w:sz="8"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SSS</w:t>
            </w:r>
          </w:p>
        </w:tc>
        <w:tc>
          <w:tcPr>
            <w:tcW w:w="561"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FPL</w:t>
            </w:r>
          </w:p>
        </w:tc>
        <w:tc>
          <w:tcPr>
            <w:tcW w:w="561" w:type="dxa"/>
            <w:tcBorders>
              <w:top w:val="nil"/>
              <w:left w:val="nil"/>
              <w:bottom w:val="single" w:sz="8"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SSS</w:t>
            </w:r>
          </w:p>
        </w:tc>
        <w:tc>
          <w:tcPr>
            <w:tcW w:w="678"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FPL</w:t>
            </w:r>
          </w:p>
        </w:tc>
        <w:tc>
          <w:tcPr>
            <w:tcW w:w="678" w:type="dxa"/>
            <w:tcBorders>
              <w:top w:val="nil"/>
              <w:left w:val="nil"/>
              <w:bottom w:val="single" w:sz="8"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SSS</w:t>
            </w:r>
          </w:p>
        </w:tc>
        <w:tc>
          <w:tcPr>
            <w:tcW w:w="551"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FPL</w:t>
            </w:r>
          </w:p>
        </w:tc>
        <w:tc>
          <w:tcPr>
            <w:tcW w:w="551" w:type="dxa"/>
            <w:tcBorders>
              <w:top w:val="nil"/>
              <w:left w:val="nil"/>
              <w:bottom w:val="single" w:sz="8"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SSS</w:t>
            </w:r>
          </w:p>
        </w:tc>
        <w:tc>
          <w:tcPr>
            <w:tcW w:w="678"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FPL</w:t>
            </w:r>
          </w:p>
        </w:tc>
        <w:tc>
          <w:tcPr>
            <w:tcW w:w="678" w:type="dxa"/>
            <w:tcBorders>
              <w:top w:val="nil"/>
              <w:left w:val="nil"/>
              <w:bottom w:val="single" w:sz="8"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SSS</w:t>
            </w:r>
          </w:p>
        </w:tc>
        <w:tc>
          <w:tcPr>
            <w:tcW w:w="678"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FPL</w:t>
            </w:r>
          </w:p>
        </w:tc>
        <w:tc>
          <w:tcPr>
            <w:tcW w:w="678" w:type="dxa"/>
            <w:tcBorders>
              <w:top w:val="nil"/>
              <w:left w:val="nil"/>
              <w:bottom w:val="single" w:sz="8"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SSS</w:t>
            </w:r>
          </w:p>
        </w:tc>
        <w:tc>
          <w:tcPr>
            <w:tcW w:w="129" w:type="dxa"/>
            <w:tcBorders>
              <w:top w:val="nil"/>
              <w:left w:val="nil"/>
              <w:bottom w:val="nil"/>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 </w:t>
            </w:r>
          </w:p>
        </w:tc>
        <w:tc>
          <w:tcPr>
            <w:tcW w:w="678"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FPL</w:t>
            </w:r>
          </w:p>
        </w:tc>
        <w:tc>
          <w:tcPr>
            <w:tcW w:w="678" w:type="dxa"/>
            <w:tcBorders>
              <w:top w:val="nil"/>
              <w:left w:val="nil"/>
              <w:bottom w:val="single" w:sz="8" w:space="0" w:color="auto"/>
              <w:right w:val="single" w:sz="8"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b/>
                <w:bCs/>
                <w:color w:val="000000"/>
                <w:sz w:val="24"/>
                <w:szCs w:val="24"/>
              </w:rPr>
            </w:pPr>
            <w:r w:rsidRPr="00054E92">
              <w:rPr>
                <w:rFonts w:eastAsia="Times New Roman" w:cstheme="minorHAnsi"/>
                <w:b/>
                <w:bCs/>
                <w:color w:val="000000"/>
                <w:sz w:val="24"/>
                <w:szCs w:val="24"/>
              </w:rPr>
              <w:t>SSS</w:t>
            </w:r>
          </w:p>
        </w:tc>
      </w:tr>
      <w:tr w:rsidR="0038569A" w:rsidRPr="00054E92" w:rsidTr="0038569A">
        <w:trPr>
          <w:trHeight w:val="315"/>
        </w:trPr>
        <w:tc>
          <w:tcPr>
            <w:tcW w:w="2738" w:type="dxa"/>
            <w:tcBorders>
              <w:top w:val="nil"/>
              <w:left w:val="single" w:sz="8" w:space="0" w:color="auto"/>
              <w:bottom w:val="nil"/>
              <w:right w:val="single" w:sz="4" w:space="0" w:color="auto"/>
            </w:tcBorders>
            <w:shd w:val="clear" w:color="auto" w:fill="auto"/>
            <w:vAlign w:val="bottom"/>
            <w:hideMark/>
          </w:tcPr>
          <w:p w:rsidR="0038569A" w:rsidRPr="00054E92" w:rsidRDefault="0038569A" w:rsidP="0038569A">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Total Households</w:t>
            </w:r>
          </w:p>
        </w:tc>
        <w:tc>
          <w:tcPr>
            <w:tcW w:w="678" w:type="dxa"/>
            <w:tcBorders>
              <w:top w:val="nil"/>
              <w:left w:val="nil"/>
              <w:bottom w:val="nil"/>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9.5</w:t>
            </w:r>
          </w:p>
        </w:tc>
        <w:tc>
          <w:tcPr>
            <w:tcW w:w="678" w:type="dxa"/>
            <w:tcBorders>
              <w:top w:val="nil"/>
              <w:left w:val="nil"/>
              <w:bottom w:val="nil"/>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31</w:t>
            </w:r>
          </w:p>
        </w:tc>
        <w:tc>
          <w:tcPr>
            <w:tcW w:w="551" w:type="dxa"/>
            <w:tcBorders>
              <w:top w:val="nil"/>
              <w:left w:val="nil"/>
              <w:bottom w:val="nil"/>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7.2</w:t>
            </w:r>
          </w:p>
        </w:tc>
        <w:tc>
          <w:tcPr>
            <w:tcW w:w="678" w:type="dxa"/>
            <w:tcBorders>
              <w:top w:val="nil"/>
              <w:left w:val="nil"/>
              <w:bottom w:val="nil"/>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20.5</w:t>
            </w:r>
          </w:p>
        </w:tc>
        <w:tc>
          <w:tcPr>
            <w:tcW w:w="561" w:type="dxa"/>
            <w:tcBorders>
              <w:top w:val="nil"/>
              <w:left w:val="nil"/>
              <w:bottom w:val="nil"/>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7</w:t>
            </w:r>
          </w:p>
        </w:tc>
        <w:tc>
          <w:tcPr>
            <w:tcW w:w="561" w:type="dxa"/>
            <w:tcBorders>
              <w:top w:val="nil"/>
              <w:left w:val="nil"/>
              <w:bottom w:val="nil"/>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19</w:t>
            </w:r>
          </w:p>
        </w:tc>
        <w:tc>
          <w:tcPr>
            <w:tcW w:w="678" w:type="dxa"/>
            <w:tcBorders>
              <w:top w:val="nil"/>
              <w:left w:val="nil"/>
              <w:bottom w:val="nil"/>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17.6</w:t>
            </w:r>
          </w:p>
        </w:tc>
        <w:tc>
          <w:tcPr>
            <w:tcW w:w="678" w:type="dxa"/>
            <w:tcBorders>
              <w:top w:val="nil"/>
              <w:left w:val="nil"/>
              <w:bottom w:val="nil"/>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31.8</w:t>
            </w:r>
          </w:p>
        </w:tc>
        <w:tc>
          <w:tcPr>
            <w:tcW w:w="551" w:type="dxa"/>
            <w:tcBorders>
              <w:top w:val="nil"/>
              <w:left w:val="nil"/>
              <w:bottom w:val="nil"/>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7</w:t>
            </w:r>
          </w:p>
        </w:tc>
        <w:tc>
          <w:tcPr>
            <w:tcW w:w="551" w:type="dxa"/>
            <w:tcBorders>
              <w:top w:val="nil"/>
              <w:left w:val="nil"/>
              <w:bottom w:val="nil"/>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20</w:t>
            </w:r>
          </w:p>
        </w:tc>
        <w:tc>
          <w:tcPr>
            <w:tcW w:w="678" w:type="dxa"/>
            <w:tcBorders>
              <w:top w:val="nil"/>
              <w:left w:val="nil"/>
              <w:bottom w:val="nil"/>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9.1</w:t>
            </w:r>
          </w:p>
        </w:tc>
        <w:tc>
          <w:tcPr>
            <w:tcW w:w="678" w:type="dxa"/>
            <w:tcBorders>
              <w:top w:val="nil"/>
              <w:left w:val="nil"/>
              <w:bottom w:val="nil"/>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20.8</w:t>
            </w:r>
          </w:p>
        </w:tc>
        <w:tc>
          <w:tcPr>
            <w:tcW w:w="678" w:type="dxa"/>
            <w:tcBorders>
              <w:top w:val="nil"/>
              <w:left w:val="nil"/>
              <w:bottom w:val="nil"/>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8.3</w:t>
            </w:r>
          </w:p>
        </w:tc>
        <w:tc>
          <w:tcPr>
            <w:tcW w:w="678" w:type="dxa"/>
            <w:tcBorders>
              <w:top w:val="nil"/>
              <w:left w:val="nil"/>
              <w:bottom w:val="nil"/>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20.7</w:t>
            </w:r>
          </w:p>
        </w:tc>
        <w:tc>
          <w:tcPr>
            <w:tcW w:w="129" w:type="dxa"/>
            <w:tcBorders>
              <w:top w:val="nil"/>
              <w:left w:val="nil"/>
              <w:bottom w:val="nil"/>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nil"/>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9.4</w:t>
            </w:r>
          </w:p>
        </w:tc>
        <w:tc>
          <w:tcPr>
            <w:tcW w:w="678" w:type="dxa"/>
            <w:tcBorders>
              <w:top w:val="nil"/>
              <w:left w:val="nil"/>
              <w:bottom w:val="nil"/>
              <w:right w:val="single" w:sz="8"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23.4</w:t>
            </w:r>
          </w:p>
        </w:tc>
      </w:tr>
      <w:tr w:rsidR="0038569A" w:rsidRPr="00054E92" w:rsidTr="0038569A">
        <w:trPr>
          <w:trHeight w:val="45"/>
        </w:trPr>
        <w:tc>
          <w:tcPr>
            <w:tcW w:w="273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8569A" w:rsidRPr="00054E92" w:rsidRDefault="0038569A" w:rsidP="0038569A">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single" w:sz="8" w:space="0" w:color="auto"/>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single" w:sz="8" w:space="0" w:color="auto"/>
              <w:left w:val="nil"/>
              <w:bottom w:val="single" w:sz="8" w:space="0" w:color="auto"/>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51" w:type="dxa"/>
            <w:tcBorders>
              <w:top w:val="single" w:sz="8" w:space="0" w:color="auto"/>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single" w:sz="8" w:space="0" w:color="auto"/>
              <w:left w:val="nil"/>
              <w:bottom w:val="single" w:sz="8" w:space="0" w:color="auto"/>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61" w:type="dxa"/>
            <w:tcBorders>
              <w:top w:val="single" w:sz="8" w:space="0" w:color="auto"/>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61" w:type="dxa"/>
            <w:tcBorders>
              <w:top w:val="single" w:sz="8" w:space="0" w:color="auto"/>
              <w:left w:val="nil"/>
              <w:bottom w:val="single" w:sz="8" w:space="0" w:color="auto"/>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single" w:sz="8" w:space="0" w:color="auto"/>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single" w:sz="8" w:space="0" w:color="auto"/>
              <w:left w:val="nil"/>
              <w:bottom w:val="single" w:sz="8" w:space="0" w:color="auto"/>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51" w:type="dxa"/>
            <w:tcBorders>
              <w:top w:val="single" w:sz="8" w:space="0" w:color="auto"/>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51" w:type="dxa"/>
            <w:tcBorders>
              <w:top w:val="single" w:sz="8" w:space="0" w:color="auto"/>
              <w:left w:val="nil"/>
              <w:bottom w:val="single" w:sz="8" w:space="0" w:color="auto"/>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single" w:sz="8" w:space="0" w:color="auto"/>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single" w:sz="8" w:space="0" w:color="auto"/>
              <w:left w:val="nil"/>
              <w:bottom w:val="single" w:sz="8" w:space="0" w:color="auto"/>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single" w:sz="8" w:space="0" w:color="auto"/>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single" w:sz="8" w:space="0" w:color="auto"/>
              <w:left w:val="nil"/>
              <w:bottom w:val="single" w:sz="8" w:space="0" w:color="auto"/>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129" w:type="dxa"/>
            <w:tcBorders>
              <w:top w:val="nil"/>
              <w:left w:val="nil"/>
              <w:bottom w:val="nil"/>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single" w:sz="8" w:space="0" w:color="auto"/>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xml:space="preserve"> </w:t>
            </w:r>
          </w:p>
        </w:tc>
        <w:tc>
          <w:tcPr>
            <w:tcW w:w="678" w:type="dxa"/>
            <w:tcBorders>
              <w:top w:val="single" w:sz="8" w:space="0" w:color="auto"/>
              <w:left w:val="nil"/>
              <w:bottom w:val="single" w:sz="8" w:space="0" w:color="auto"/>
              <w:right w:val="single" w:sz="8"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xml:space="preserve"> </w:t>
            </w:r>
          </w:p>
        </w:tc>
      </w:tr>
      <w:tr w:rsidR="0038569A" w:rsidRPr="00054E92" w:rsidTr="0038569A">
        <w:trPr>
          <w:trHeight w:val="315"/>
        </w:trPr>
        <w:tc>
          <w:tcPr>
            <w:tcW w:w="2738" w:type="dxa"/>
            <w:tcBorders>
              <w:top w:val="nil"/>
              <w:left w:val="single" w:sz="8" w:space="0" w:color="auto"/>
              <w:bottom w:val="single" w:sz="8" w:space="0" w:color="auto"/>
              <w:right w:val="single" w:sz="4" w:space="0" w:color="auto"/>
            </w:tcBorders>
            <w:shd w:val="clear" w:color="auto" w:fill="auto"/>
            <w:vAlign w:val="bottom"/>
            <w:hideMark/>
          </w:tcPr>
          <w:p w:rsidR="0038569A" w:rsidRPr="00054E92" w:rsidRDefault="0038569A" w:rsidP="0038569A">
            <w:pPr>
              <w:spacing w:after="0" w:line="240" w:lineRule="auto"/>
              <w:rPr>
                <w:rFonts w:eastAsia="Times New Roman" w:cstheme="minorHAnsi"/>
                <w:b/>
                <w:bCs/>
                <w:color w:val="000000"/>
                <w:sz w:val="24"/>
                <w:szCs w:val="24"/>
              </w:rPr>
            </w:pPr>
            <w:r w:rsidRPr="00054E92">
              <w:rPr>
                <w:rFonts w:eastAsia="Times New Roman" w:cstheme="minorHAnsi"/>
                <w:b/>
                <w:bCs/>
                <w:color w:val="000000"/>
                <w:sz w:val="24"/>
                <w:szCs w:val="24"/>
              </w:rPr>
              <w:t>Households with Children</w:t>
            </w:r>
          </w:p>
        </w:tc>
        <w:tc>
          <w:tcPr>
            <w:tcW w:w="678"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12.1</w:t>
            </w:r>
          </w:p>
        </w:tc>
        <w:tc>
          <w:tcPr>
            <w:tcW w:w="678" w:type="dxa"/>
            <w:tcBorders>
              <w:top w:val="nil"/>
              <w:left w:val="nil"/>
              <w:bottom w:val="single" w:sz="8"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42.8</w:t>
            </w:r>
          </w:p>
        </w:tc>
        <w:tc>
          <w:tcPr>
            <w:tcW w:w="551"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8.2</w:t>
            </w:r>
          </w:p>
        </w:tc>
        <w:tc>
          <w:tcPr>
            <w:tcW w:w="678" w:type="dxa"/>
            <w:tcBorders>
              <w:top w:val="nil"/>
              <w:left w:val="nil"/>
              <w:bottom w:val="single" w:sz="8"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29.2</w:t>
            </w:r>
          </w:p>
        </w:tc>
        <w:tc>
          <w:tcPr>
            <w:tcW w:w="561"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8</w:t>
            </w:r>
          </w:p>
        </w:tc>
        <w:tc>
          <w:tcPr>
            <w:tcW w:w="561" w:type="dxa"/>
            <w:tcBorders>
              <w:top w:val="nil"/>
              <w:left w:val="nil"/>
              <w:bottom w:val="single" w:sz="8"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27</w:t>
            </w:r>
          </w:p>
        </w:tc>
        <w:tc>
          <w:tcPr>
            <w:tcW w:w="678"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22.2</w:t>
            </w:r>
          </w:p>
        </w:tc>
        <w:tc>
          <w:tcPr>
            <w:tcW w:w="678" w:type="dxa"/>
            <w:tcBorders>
              <w:top w:val="nil"/>
              <w:left w:val="nil"/>
              <w:bottom w:val="single" w:sz="8"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38.3</w:t>
            </w:r>
          </w:p>
        </w:tc>
        <w:tc>
          <w:tcPr>
            <w:tcW w:w="551"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8</w:t>
            </w:r>
          </w:p>
        </w:tc>
        <w:tc>
          <w:tcPr>
            <w:tcW w:w="551" w:type="dxa"/>
            <w:tcBorders>
              <w:top w:val="nil"/>
              <w:left w:val="nil"/>
              <w:bottom w:val="single" w:sz="8"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27</w:t>
            </w:r>
          </w:p>
        </w:tc>
        <w:tc>
          <w:tcPr>
            <w:tcW w:w="678"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11.0</w:t>
            </w:r>
          </w:p>
        </w:tc>
        <w:tc>
          <w:tcPr>
            <w:tcW w:w="678" w:type="dxa"/>
            <w:tcBorders>
              <w:top w:val="nil"/>
              <w:left w:val="nil"/>
              <w:bottom w:val="single" w:sz="8"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29.1</w:t>
            </w:r>
          </w:p>
        </w:tc>
        <w:tc>
          <w:tcPr>
            <w:tcW w:w="678"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9.5</w:t>
            </w:r>
          </w:p>
        </w:tc>
        <w:tc>
          <w:tcPr>
            <w:tcW w:w="678" w:type="dxa"/>
            <w:tcBorders>
              <w:top w:val="nil"/>
              <w:left w:val="nil"/>
              <w:bottom w:val="single" w:sz="8"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28.9</w:t>
            </w:r>
          </w:p>
        </w:tc>
        <w:tc>
          <w:tcPr>
            <w:tcW w:w="129" w:type="dxa"/>
            <w:tcBorders>
              <w:top w:val="nil"/>
              <w:left w:val="nil"/>
              <w:bottom w:val="nil"/>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11.3</w:t>
            </w:r>
          </w:p>
        </w:tc>
        <w:tc>
          <w:tcPr>
            <w:tcW w:w="678" w:type="dxa"/>
            <w:tcBorders>
              <w:top w:val="nil"/>
              <w:left w:val="nil"/>
              <w:bottom w:val="single" w:sz="8" w:space="0" w:color="auto"/>
              <w:right w:val="single" w:sz="8"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31.8</w:t>
            </w:r>
          </w:p>
        </w:tc>
      </w:tr>
      <w:tr w:rsidR="0038569A" w:rsidRPr="00054E92" w:rsidTr="0038569A">
        <w:trPr>
          <w:trHeight w:val="555"/>
        </w:trPr>
        <w:tc>
          <w:tcPr>
            <w:tcW w:w="2738" w:type="dxa"/>
            <w:tcBorders>
              <w:top w:val="nil"/>
              <w:left w:val="single" w:sz="8" w:space="0" w:color="auto"/>
              <w:bottom w:val="single" w:sz="4" w:space="0" w:color="auto"/>
              <w:right w:val="single" w:sz="4" w:space="0" w:color="auto"/>
            </w:tcBorders>
            <w:shd w:val="clear" w:color="auto" w:fill="auto"/>
            <w:vAlign w:val="bottom"/>
            <w:hideMark/>
          </w:tcPr>
          <w:p w:rsidR="0038569A" w:rsidRPr="00054E92" w:rsidRDefault="0038569A" w:rsidP="0038569A">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Married Couple and  Single Father Households</w:t>
            </w:r>
          </w:p>
        </w:tc>
        <w:tc>
          <w:tcPr>
            <w:tcW w:w="678"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8.2</w:t>
            </w:r>
          </w:p>
        </w:tc>
        <w:tc>
          <w:tcPr>
            <w:tcW w:w="678" w:type="dxa"/>
            <w:tcBorders>
              <w:top w:val="nil"/>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37.1</w:t>
            </w:r>
          </w:p>
        </w:tc>
        <w:tc>
          <w:tcPr>
            <w:tcW w:w="551"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5.3</w:t>
            </w:r>
          </w:p>
        </w:tc>
        <w:tc>
          <w:tcPr>
            <w:tcW w:w="678" w:type="dxa"/>
            <w:tcBorders>
              <w:top w:val="nil"/>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23.9</w:t>
            </w:r>
          </w:p>
        </w:tc>
        <w:tc>
          <w:tcPr>
            <w:tcW w:w="561"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4</w:t>
            </w:r>
          </w:p>
        </w:tc>
        <w:tc>
          <w:tcPr>
            <w:tcW w:w="561" w:type="dxa"/>
            <w:tcBorders>
              <w:top w:val="nil"/>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19</w:t>
            </w:r>
          </w:p>
        </w:tc>
        <w:tc>
          <w:tcPr>
            <w:tcW w:w="678"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10.3</w:t>
            </w:r>
          </w:p>
        </w:tc>
        <w:tc>
          <w:tcPr>
            <w:tcW w:w="678" w:type="dxa"/>
            <w:tcBorders>
              <w:top w:val="nil"/>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24.3</w:t>
            </w:r>
          </w:p>
        </w:tc>
        <w:tc>
          <w:tcPr>
            <w:tcW w:w="551"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w:t>
            </w:r>
          </w:p>
        </w:tc>
        <w:tc>
          <w:tcPr>
            <w:tcW w:w="551" w:type="dxa"/>
            <w:tcBorders>
              <w:top w:val="nil"/>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18</w:t>
            </w:r>
          </w:p>
        </w:tc>
        <w:tc>
          <w:tcPr>
            <w:tcW w:w="678"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5.0</w:t>
            </w:r>
          </w:p>
        </w:tc>
        <w:tc>
          <w:tcPr>
            <w:tcW w:w="678" w:type="dxa"/>
            <w:tcBorders>
              <w:top w:val="nil"/>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20.5</w:t>
            </w:r>
          </w:p>
        </w:tc>
        <w:tc>
          <w:tcPr>
            <w:tcW w:w="678"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6.2</w:t>
            </w:r>
          </w:p>
        </w:tc>
        <w:tc>
          <w:tcPr>
            <w:tcW w:w="678" w:type="dxa"/>
            <w:tcBorders>
              <w:top w:val="nil"/>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23.6</w:t>
            </w:r>
          </w:p>
        </w:tc>
        <w:tc>
          <w:tcPr>
            <w:tcW w:w="129" w:type="dxa"/>
            <w:tcBorders>
              <w:top w:val="nil"/>
              <w:left w:val="nil"/>
              <w:bottom w:val="nil"/>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6.0</w:t>
            </w:r>
          </w:p>
        </w:tc>
        <w:tc>
          <w:tcPr>
            <w:tcW w:w="678" w:type="dxa"/>
            <w:tcBorders>
              <w:top w:val="nil"/>
              <w:left w:val="nil"/>
              <w:bottom w:val="single" w:sz="4" w:space="0" w:color="auto"/>
              <w:right w:val="single" w:sz="8"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23.8</w:t>
            </w:r>
          </w:p>
        </w:tc>
      </w:tr>
      <w:tr w:rsidR="0038569A" w:rsidRPr="00054E92" w:rsidTr="0038569A">
        <w:trPr>
          <w:trHeight w:val="300"/>
        </w:trPr>
        <w:tc>
          <w:tcPr>
            <w:tcW w:w="2738" w:type="dxa"/>
            <w:tcBorders>
              <w:top w:val="nil"/>
              <w:left w:val="single" w:sz="8" w:space="0" w:color="auto"/>
              <w:bottom w:val="single" w:sz="4" w:space="0" w:color="auto"/>
              <w:right w:val="single" w:sz="4" w:space="0" w:color="auto"/>
            </w:tcBorders>
            <w:shd w:val="clear" w:color="auto" w:fill="auto"/>
            <w:vAlign w:val="bottom"/>
            <w:hideMark/>
          </w:tcPr>
          <w:p w:rsidR="0038569A" w:rsidRPr="00054E92" w:rsidRDefault="0038569A" w:rsidP="00054E92">
            <w:pPr>
              <w:spacing w:after="0" w:line="240" w:lineRule="auto"/>
              <w:ind w:firstLineChars="100" w:firstLine="240"/>
              <w:rPr>
                <w:rFonts w:eastAsia="Times New Roman" w:cstheme="minorHAnsi"/>
                <w:i/>
                <w:iCs/>
                <w:color w:val="000000"/>
                <w:sz w:val="24"/>
                <w:szCs w:val="24"/>
              </w:rPr>
            </w:pPr>
            <w:r w:rsidRPr="00054E92">
              <w:rPr>
                <w:rFonts w:eastAsia="Times New Roman" w:cstheme="minorHAnsi"/>
                <w:i/>
                <w:iCs/>
                <w:color w:val="000000"/>
                <w:sz w:val="24"/>
                <w:szCs w:val="24"/>
              </w:rPr>
              <w:t xml:space="preserve">   Two or more workers</w:t>
            </w:r>
          </w:p>
        </w:tc>
        <w:tc>
          <w:tcPr>
            <w:tcW w:w="678"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3.5</w:t>
            </w:r>
          </w:p>
        </w:tc>
        <w:tc>
          <w:tcPr>
            <w:tcW w:w="678" w:type="dxa"/>
            <w:tcBorders>
              <w:top w:val="nil"/>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29.7</w:t>
            </w:r>
          </w:p>
        </w:tc>
        <w:tc>
          <w:tcPr>
            <w:tcW w:w="551"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1.8</w:t>
            </w:r>
          </w:p>
        </w:tc>
        <w:tc>
          <w:tcPr>
            <w:tcW w:w="678" w:type="dxa"/>
            <w:tcBorders>
              <w:top w:val="nil"/>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16.7</w:t>
            </w:r>
          </w:p>
        </w:tc>
        <w:tc>
          <w:tcPr>
            <w:tcW w:w="561"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w:t>
            </w:r>
          </w:p>
        </w:tc>
        <w:tc>
          <w:tcPr>
            <w:tcW w:w="561" w:type="dxa"/>
            <w:tcBorders>
              <w:top w:val="nil"/>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13</w:t>
            </w:r>
          </w:p>
        </w:tc>
        <w:tc>
          <w:tcPr>
            <w:tcW w:w="678"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4.7</w:t>
            </w:r>
          </w:p>
        </w:tc>
        <w:tc>
          <w:tcPr>
            <w:tcW w:w="678" w:type="dxa"/>
            <w:tcBorders>
              <w:top w:val="nil"/>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15.9</w:t>
            </w:r>
          </w:p>
        </w:tc>
        <w:tc>
          <w:tcPr>
            <w:tcW w:w="551"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w:t>
            </w:r>
          </w:p>
        </w:tc>
        <w:tc>
          <w:tcPr>
            <w:tcW w:w="551" w:type="dxa"/>
            <w:tcBorders>
              <w:top w:val="nil"/>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13</w:t>
            </w:r>
          </w:p>
        </w:tc>
        <w:tc>
          <w:tcPr>
            <w:tcW w:w="678"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2.2</w:t>
            </w:r>
          </w:p>
        </w:tc>
        <w:tc>
          <w:tcPr>
            <w:tcW w:w="678" w:type="dxa"/>
            <w:tcBorders>
              <w:top w:val="nil"/>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13.9</w:t>
            </w:r>
          </w:p>
        </w:tc>
        <w:tc>
          <w:tcPr>
            <w:tcW w:w="678"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2.5</w:t>
            </w:r>
          </w:p>
        </w:tc>
        <w:tc>
          <w:tcPr>
            <w:tcW w:w="678" w:type="dxa"/>
            <w:tcBorders>
              <w:top w:val="nil"/>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16.1</w:t>
            </w:r>
          </w:p>
        </w:tc>
        <w:tc>
          <w:tcPr>
            <w:tcW w:w="129" w:type="dxa"/>
            <w:tcBorders>
              <w:top w:val="nil"/>
              <w:left w:val="nil"/>
              <w:bottom w:val="nil"/>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2.5</w:t>
            </w:r>
          </w:p>
        </w:tc>
        <w:tc>
          <w:tcPr>
            <w:tcW w:w="678" w:type="dxa"/>
            <w:tcBorders>
              <w:top w:val="nil"/>
              <w:left w:val="nil"/>
              <w:bottom w:val="single" w:sz="4" w:space="0" w:color="auto"/>
              <w:right w:val="single" w:sz="8"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16.9</w:t>
            </w:r>
          </w:p>
        </w:tc>
      </w:tr>
      <w:tr w:rsidR="0038569A" w:rsidRPr="00054E92" w:rsidTr="0038569A">
        <w:trPr>
          <w:trHeight w:val="300"/>
        </w:trPr>
        <w:tc>
          <w:tcPr>
            <w:tcW w:w="2738" w:type="dxa"/>
            <w:tcBorders>
              <w:top w:val="nil"/>
              <w:left w:val="single" w:sz="8" w:space="0" w:color="auto"/>
              <w:bottom w:val="single" w:sz="4" w:space="0" w:color="auto"/>
              <w:right w:val="single" w:sz="4" w:space="0" w:color="auto"/>
            </w:tcBorders>
            <w:shd w:val="clear" w:color="auto" w:fill="auto"/>
            <w:vAlign w:val="bottom"/>
            <w:hideMark/>
          </w:tcPr>
          <w:p w:rsidR="0038569A" w:rsidRPr="00054E92" w:rsidRDefault="0038569A" w:rsidP="00054E92">
            <w:pPr>
              <w:spacing w:after="0" w:line="240" w:lineRule="auto"/>
              <w:ind w:firstLineChars="100" w:firstLine="240"/>
              <w:rPr>
                <w:rFonts w:eastAsia="Times New Roman" w:cstheme="minorHAnsi"/>
                <w:i/>
                <w:iCs/>
                <w:color w:val="000000"/>
                <w:sz w:val="24"/>
                <w:szCs w:val="24"/>
              </w:rPr>
            </w:pPr>
            <w:r w:rsidRPr="00054E92">
              <w:rPr>
                <w:rFonts w:eastAsia="Times New Roman" w:cstheme="minorHAnsi"/>
                <w:i/>
                <w:iCs/>
                <w:color w:val="000000"/>
                <w:sz w:val="24"/>
                <w:szCs w:val="24"/>
              </w:rPr>
              <w:t xml:space="preserve">   One FTYR worker</w:t>
            </w:r>
          </w:p>
        </w:tc>
        <w:tc>
          <w:tcPr>
            <w:tcW w:w="678"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12.5</w:t>
            </w:r>
          </w:p>
        </w:tc>
        <w:tc>
          <w:tcPr>
            <w:tcW w:w="678" w:type="dxa"/>
            <w:tcBorders>
              <w:top w:val="nil"/>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49.7</w:t>
            </w:r>
          </w:p>
        </w:tc>
        <w:tc>
          <w:tcPr>
            <w:tcW w:w="551"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5.4</w:t>
            </w:r>
          </w:p>
        </w:tc>
        <w:tc>
          <w:tcPr>
            <w:tcW w:w="678" w:type="dxa"/>
            <w:tcBorders>
              <w:top w:val="nil"/>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32.5</w:t>
            </w:r>
          </w:p>
        </w:tc>
        <w:tc>
          <w:tcPr>
            <w:tcW w:w="561"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w:t>
            </w:r>
          </w:p>
        </w:tc>
        <w:tc>
          <w:tcPr>
            <w:tcW w:w="561" w:type="dxa"/>
            <w:tcBorders>
              <w:top w:val="nil"/>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29</w:t>
            </w:r>
          </w:p>
        </w:tc>
        <w:tc>
          <w:tcPr>
            <w:tcW w:w="678"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16.3</w:t>
            </w:r>
          </w:p>
        </w:tc>
        <w:tc>
          <w:tcPr>
            <w:tcW w:w="678" w:type="dxa"/>
            <w:tcBorders>
              <w:top w:val="nil"/>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39.9</w:t>
            </w:r>
          </w:p>
        </w:tc>
        <w:tc>
          <w:tcPr>
            <w:tcW w:w="551"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w:t>
            </w:r>
          </w:p>
        </w:tc>
        <w:tc>
          <w:tcPr>
            <w:tcW w:w="551" w:type="dxa"/>
            <w:tcBorders>
              <w:top w:val="nil"/>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28</w:t>
            </w:r>
          </w:p>
        </w:tc>
        <w:tc>
          <w:tcPr>
            <w:tcW w:w="678"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6.1</w:t>
            </w:r>
          </w:p>
        </w:tc>
        <w:tc>
          <w:tcPr>
            <w:tcW w:w="678" w:type="dxa"/>
            <w:tcBorders>
              <w:top w:val="nil"/>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34.0</w:t>
            </w:r>
          </w:p>
        </w:tc>
        <w:tc>
          <w:tcPr>
            <w:tcW w:w="678"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4.8</w:t>
            </w:r>
          </w:p>
        </w:tc>
        <w:tc>
          <w:tcPr>
            <w:tcW w:w="678" w:type="dxa"/>
            <w:tcBorders>
              <w:top w:val="nil"/>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30.9</w:t>
            </w:r>
          </w:p>
        </w:tc>
        <w:tc>
          <w:tcPr>
            <w:tcW w:w="129" w:type="dxa"/>
            <w:tcBorders>
              <w:top w:val="nil"/>
              <w:left w:val="nil"/>
              <w:bottom w:val="nil"/>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7.2</w:t>
            </w:r>
          </w:p>
        </w:tc>
        <w:tc>
          <w:tcPr>
            <w:tcW w:w="678" w:type="dxa"/>
            <w:tcBorders>
              <w:top w:val="nil"/>
              <w:left w:val="nil"/>
              <w:bottom w:val="single" w:sz="4" w:space="0" w:color="auto"/>
              <w:right w:val="single" w:sz="8"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34.9</w:t>
            </w:r>
          </w:p>
        </w:tc>
      </w:tr>
      <w:tr w:rsidR="0038569A" w:rsidRPr="00054E92" w:rsidTr="0038569A">
        <w:trPr>
          <w:trHeight w:val="195"/>
        </w:trPr>
        <w:tc>
          <w:tcPr>
            <w:tcW w:w="2738" w:type="dxa"/>
            <w:tcBorders>
              <w:top w:val="nil"/>
              <w:left w:val="single" w:sz="8" w:space="0" w:color="auto"/>
              <w:bottom w:val="single" w:sz="4" w:space="0" w:color="auto"/>
              <w:right w:val="single" w:sz="4" w:space="0" w:color="auto"/>
            </w:tcBorders>
            <w:shd w:val="clear" w:color="auto" w:fill="auto"/>
            <w:vAlign w:val="bottom"/>
            <w:hideMark/>
          </w:tcPr>
          <w:p w:rsidR="0038569A" w:rsidRPr="00054E92" w:rsidRDefault="0038569A" w:rsidP="0038569A">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51"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61"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61" w:type="dxa"/>
            <w:tcBorders>
              <w:top w:val="nil"/>
              <w:left w:val="nil"/>
              <w:bottom w:val="single" w:sz="4" w:space="0" w:color="auto"/>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51"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51" w:type="dxa"/>
            <w:tcBorders>
              <w:top w:val="nil"/>
              <w:left w:val="nil"/>
              <w:bottom w:val="single" w:sz="4" w:space="0" w:color="auto"/>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4" w:space="0" w:color="auto"/>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129" w:type="dxa"/>
            <w:tcBorders>
              <w:top w:val="nil"/>
              <w:left w:val="nil"/>
              <w:bottom w:val="nil"/>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xml:space="preserve"> </w:t>
            </w:r>
          </w:p>
        </w:tc>
        <w:tc>
          <w:tcPr>
            <w:tcW w:w="678" w:type="dxa"/>
            <w:tcBorders>
              <w:top w:val="nil"/>
              <w:left w:val="nil"/>
              <w:bottom w:val="single" w:sz="4" w:space="0" w:color="auto"/>
              <w:right w:val="single" w:sz="8"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xml:space="preserve"> </w:t>
            </w:r>
          </w:p>
        </w:tc>
      </w:tr>
      <w:tr w:rsidR="0038569A" w:rsidRPr="00054E92" w:rsidTr="0038569A">
        <w:trPr>
          <w:trHeight w:val="300"/>
        </w:trPr>
        <w:tc>
          <w:tcPr>
            <w:tcW w:w="2738" w:type="dxa"/>
            <w:tcBorders>
              <w:top w:val="nil"/>
              <w:left w:val="single" w:sz="8" w:space="0" w:color="auto"/>
              <w:bottom w:val="nil"/>
              <w:right w:val="single" w:sz="4" w:space="0" w:color="auto"/>
            </w:tcBorders>
            <w:shd w:val="clear" w:color="auto" w:fill="auto"/>
            <w:vAlign w:val="bottom"/>
            <w:hideMark/>
          </w:tcPr>
          <w:p w:rsidR="0038569A" w:rsidRPr="00054E92" w:rsidRDefault="0038569A" w:rsidP="0038569A">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Single Mother Households</w:t>
            </w:r>
          </w:p>
        </w:tc>
        <w:tc>
          <w:tcPr>
            <w:tcW w:w="678" w:type="dxa"/>
            <w:tcBorders>
              <w:top w:val="nil"/>
              <w:left w:val="nil"/>
              <w:bottom w:val="nil"/>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26.5</w:t>
            </w:r>
          </w:p>
        </w:tc>
        <w:tc>
          <w:tcPr>
            <w:tcW w:w="678" w:type="dxa"/>
            <w:tcBorders>
              <w:top w:val="nil"/>
              <w:left w:val="nil"/>
              <w:bottom w:val="nil"/>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63.5</w:t>
            </w:r>
          </w:p>
        </w:tc>
        <w:tc>
          <w:tcPr>
            <w:tcW w:w="551" w:type="dxa"/>
            <w:tcBorders>
              <w:top w:val="nil"/>
              <w:left w:val="nil"/>
              <w:bottom w:val="nil"/>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22</w:t>
            </w:r>
          </w:p>
        </w:tc>
        <w:tc>
          <w:tcPr>
            <w:tcW w:w="678" w:type="dxa"/>
            <w:tcBorders>
              <w:top w:val="nil"/>
              <w:left w:val="nil"/>
              <w:bottom w:val="nil"/>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54.1</w:t>
            </w:r>
          </w:p>
        </w:tc>
        <w:tc>
          <w:tcPr>
            <w:tcW w:w="561" w:type="dxa"/>
            <w:tcBorders>
              <w:top w:val="nil"/>
              <w:left w:val="nil"/>
              <w:bottom w:val="nil"/>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24</w:t>
            </w:r>
          </w:p>
        </w:tc>
        <w:tc>
          <w:tcPr>
            <w:tcW w:w="561" w:type="dxa"/>
            <w:tcBorders>
              <w:top w:val="nil"/>
              <w:left w:val="nil"/>
              <w:bottom w:val="nil"/>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59</w:t>
            </w:r>
          </w:p>
        </w:tc>
        <w:tc>
          <w:tcPr>
            <w:tcW w:w="678" w:type="dxa"/>
            <w:tcBorders>
              <w:top w:val="nil"/>
              <w:left w:val="nil"/>
              <w:bottom w:val="nil"/>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46.8</w:t>
            </w:r>
          </w:p>
        </w:tc>
        <w:tc>
          <w:tcPr>
            <w:tcW w:w="678" w:type="dxa"/>
            <w:tcBorders>
              <w:top w:val="nil"/>
              <w:left w:val="nil"/>
              <w:bottom w:val="nil"/>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67.8</w:t>
            </w:r>
          </w:p>
        </w:tc>
        <w:tc>
          <w:tcPr>
            <w:tcW w:w="551" w:type="dxa"/>
            <w:tcBorders>
              <w:top w:val="nil"/>
              <w:left w:val="nil"/>
              <w:bottom w:val="nil"/>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24</w:t>
            </w:r>
          </w:p>
        </w:tc>
        <w:tc>
          <w:tcPr>
            <w:tcW w:w="551" w:type="dxa"/>
            <w:tcBorders>
              <w:top w:val="nil"/>
              <w:left w:val="nil"/>
              <w:bottom w:val="nil"/>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57</w:t>
            </w:r>
          </w:p>
        </w:tc>
        <w:tc>
          <w:tcPr>
            <w:tcW w:w="678" w:type="dxa"/>
            <w:tcBorders>
              <w:top w:val="nil"/>
              <w:left w:val="nil"/>
              <w:bottom w:val="nil"/>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31.1</w:t>
            </w:r>
          </w:p>
        </w:tc>
        <w:tc>
          <w:tcPr>
            <w:tcW w:w="678" w:type="dxa"/>
            <w:tcBorders>
              <w:top w:val="nil"/>
              <w:left w:val="nil"/>
              <w:bottom w:val="nil"/>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58.1</w:t>
            </w:r>
          </w:p>
        </w:tc>
        <w:tc>
          <w:tcPr>
            <w:tcW w:w="678" w:type="dxa"/>
            <w:tcBorders>
              <w:top w:val="nil"/>
              <w:left w:val="nil"/>
              <w:bottom w:val="nil"/>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24.2</w:t>
            </w:r>
          </w:p>
        </w:tc>
        <w:tc>
          <w:tcPr>
            <w:tcW w:w="678" w:type="dxa"/>
            <w:tcBorders>
              <w:top w:val="nil"/>
              <w:left w:val="nil"/>
              <w:bottom w:val="nil"/>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52</w:t>
            </w:r>
          </w:p>
        </w:tc>
        <w:tc>
          <w:tcPr>
            <w:tcW w:w="129" w:type="dxa"/>
            <w:tcBorders>
              <w:top w:val="nil"/>
              <w:left w:val="nil"/>
              <w:bottom w:val="nil"/>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28.4</w:t>
            </w:r>
          </w:p>
        </w:tc>
        <w:tc>
          <w:tcPr>
            <w:tcW w:w="678" w:type="dxa"/>
            <w:tcBorders>
              <w:top w:val="nil"/>
              <w:left w:val="nil"/>
              <w:bottom w:val="single" w:sz="4" w:space="0" w:color="auto"/>
              <w:right w:val="single" w:sz="8"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58.8</w:t>
            </w:r>
          </w:p>
        </w:tc>
      </w:tr>
      <w:tr w:rsidR="0038569A" w:rsidRPr="00054E92" w:rsidTr="0038569A">
        <w:trPr>
          <w:trHeight w:val="300"/>
        </w:trPr>
        <w:tc>
          <w:tcPr>
            <w:tcW w:w="27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8569A" w:rsidRPr="00054E92" w:rsidRDefault="0038569A" w:rsidP="00054E92">
            <w:pPr>
              <w:spacing w:after="0" w:line="240" w:lineRule="auto"/>
              <w:ind w:firstLineChars="100" w:firstLine="240"/>
              <w:rPr>
                <w:rFonts w:eastAsia="Times New Roman" w:cstheme="minorHAnsi"/>
                <w:i/>
                <w:iCs/>
                <w:color w:val="000000"/>
                <w:sz w:val="24"/>
                <w:szCs w:val="24"/>
              </w:rPr>
            </w:pPr>
            <w:r w:rsidRPr="00054E92">
              <w:rPr>
                <w:rFonts w:eastAsia="Times New Roman" w:cstheme="minorHAnsi"/>
                <w:i/>
                <w:iCs/>
                <w:color w:val="000000"/>
                <w:sz w:val="24"/>
                <w:szCs w:val="24"/>
              </w:rPr>
              <w:t xml:space="preserve">   Two or more workers</w:t>
            </w:r>
          </w:p>
        </w:tc>
        <w:tc>
          <w:tcPr>
            <w:tcW w:w="678" w:type="dxa"/>
            <w:tcBorders>
              <w:top w:val="single" w:sz="4" w:space="0" w:color="auto"/>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10.3</w:t>
            </w:r>
          </w:p>
        </w:tc>
        <w:tc>
          <w:tcPr>
            <w:tcW w:w="678" w:type="dxa"/>
            <w:tcBorders>
              <w:top w:val="single" w:sz="4" w:space="0" w:color="auto"/>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50</w:t>
            </w:r>
          </w:p>
        </w:tc>
        <w:tc>
          <w:tcPr>
            <w:tcW w:w="551" w:type="dxa"/>
            <w:tcBorders>
              <w:top w:val="single" w:sz="4" w:space="0" w:color="auto"/>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5.5</w:t>
            </w:r>
          </w:p>
        </w:tc>
        <w:tc>
          <w:tcPr>
            <w:tcW w:w="678" w:type="dxa"/>
            <w:tcBorders>
              <w:top w:val="single" w:sz="4" w:space="0" w:color="auto"/>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32.5</w:t>
            </w:r>
          </w:p>
        </w:tc>
        <w:tc>
          <w:tcPr>
            <w:tcW w:w="561" w:type="dxa"/>
            <w:tcBorders>
              <w:top w:val="single" w:sz="4" w:space="0" w:color="auto"/>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7</w:t>
            </w:r>
          </w:p>
        </w:tc>
        <w:tc>
          <w:tcPr>
            <w:tcW w:w="561" w:type="dxa"/>
            <w:tcBorders>
              <w:top w:val="single" w:sz="4" w:space="0" w:color="auto"/>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36</w:t>
            </w:r>
          </w:p>
        </w:tc>
        <w:tc>
          <w:tcPr>
            <w:tcW w:w="678" w:type="dxa"/>
            <w:tcBorders>
              <w:top w:val="single" w:sz="4" w:space="0" w:color="auto"/>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21.7</w:t>
            </w:r>
          </w:p>
        </w:tc>
        <w:tc>
          <w:tcPr>
            <w:tcW w:w="678" w:type="dxa"/>
            <w:tcBorders>
              <w:top w:val="single" w:sz="4" w:space="0" w:color="auto"/>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45.8</w:t>
            </w:r>
          </w:p>
        </w:tc>
        <w:tc>
          <w:tcPr>
            <w:tcW w:w="551" w:type="dxa"/>
            <w:tcBorders>
              <w:top w:val="single" w:sz="4" w:space="0" w:color="auto"/>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5</w:t>
            </w:r>
          </w:p>
        </w:tc>
        <w:tc>
          <w:tcPr>
            <w:tcW w:w="551" w:type="dxa"/>
            <w:tcBorders>
              <w:top w:val="single" w:sz="4" w:space="0" w:color="auto"/>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37</w:t>
            </w:r>
          </w:p>
        </w:tc>
        <w:tc>
          <w:tcPr>
            <w:tcW w:w="678" w:type="dxa"/>
            <w:tcBorders>
              <w:top w:val="single" w:sz="4" w:space="0" w:color="auto"/>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9.2</w:t>
            </w:r>
          </w:p>
        </w:tc>
        <w:tc>
          <w:tcPr>
            <w:tcW w:w="678" w:type="dxa"/>
            <w:tcBorders>
              <w:top w:val="single" w:sz="4" w:space="0" w:color="auto"/>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32.3</w:t>
            </w:r>
          </w:p>
        </w:tc>
        <w:tc>
          <w:tcPr>
            <w:tcW w:w="678" w:type="dxa"/>
            <w:tcBorders>
              <w:top w:val="single" w:sz="4" w:space="0" w:color="auto"/>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5.9</w:t>
            </w:r>
          </w:p>
        </w:tc>
        <w:tc>
          <w:tcPr>
            <w:tcW w:w="678" w:type="dxa"/>
            <w:tcBorders>
              <w:top w:val="single" w:sz="4" w:space="0" w:color="auto"/>
              <w:left w:val="nil"/>
              <w:bottom w:val="single" w:sz="4"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31.2</w:t>
            </w:r>
          </w:p>
        </w:tc>
        <w:tc>
          <w:tcPr>
            <w:tcW w:w="129" w:type="dxa"/>
            <w:tcBorders>
              <w:top w:val="nil"/>
              <w:left w:val="nil"/>
              <w:bottom w:val="nil"/>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4"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9.2</w:t>
            </w:r>
          </w:p>
        </w:tc>
        <w:tc>
          <w:tcPr>
            <w:tcW w:w="678" w:type="dxa"/>
            <w:tcBorders>
              <w:top w:val="nil"/>
              <w:left w:val="nil"/>
              <w:bottom w:val="single" w:sz="4" w:space="0" w:color="auto"/>
              <w:right w:val="single" w:sz="8"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37.8</w:t>
            </w:r>
          </w:p>
        </w:tc>
      </w:tr>
      <w:tr w:rsidR="0038569A" w:rsidRPr="00054E92" w:rsidTr="0038569A">
        <w:trPr>
          <w:trHeight w:val="315"/>
        </w:trPr>
        <w:tc>
          <w:tcPr>
            <w:tcW w:w="2738" w:type="dxa"/>
            <w:tcBorders>
              <w:top w:val="nil"/>
              <w:left w:val="single" w:sz="8" w:space="0" w:color="auto"/>
              <w:bottom w:val="single" w:sz="8" w:space="0" w:color="auto"/>
              <w:right w:val="single" w:sz="4" w:space="0" w:color="auto"/>
            </w:tcBorders>
            <w:shd w:val="clear" w:color="auto" w:fill="auto"/>
            <w:vAlign w:val="bottom"/>
            <w:hideMark/>
          </w:tcPr>
          <w:p w:rsidR="0038569A" w:rsidRPr="00054E92" w:rsidRDefault="0038569A" w:rsidP="00054E92">
            <w:pPr>
              <w:spacing w:after="0" w:line="240" w:lineRule="auto"/>
              <w:ind w:firstLineChars="100" w:firstLine="240"/>
              <w:rPr>
                <w:rFonts w:eastAsia="Times New Roman" w:cstheme="minorHAnsi"/>
                <w:i/>
                <w:iCs/>
                <w:color w:val="000000"/>
                <w:sz w:val="24"/>
                <w:szCs w:val="24"/>
              </w:rPr>
            </w:pPr>
            <w:r w:rsidRPr="00054E92">
              <w:rPr>
                <w:rFonts w:eastAsia="Times New Roman" w:cstheme="minorHAnsi"/>
                <w:i/>
                <w:iCs/>
                <w:color w:val="000000"/>
                <w:sz w:val="24"/>
                <w:szCs w:val="24"/>
              </w:rPr>
              <w:t xml:space="preserve">   One FTYR worker</w:t>
            </w:r>
          </w:p>
        </w:tc>
        <w:tc>
          <w:tcPr>
            <w:tcW w:w="678"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14.9</w:t>
            </w:r>
          </w:p>
        </w:tc>
        <w:tc>
          <w:tcPr>
            <w:tcW w:w="678" w:type="dxa"/>
            <w:tcBorders>
              <w:top w:val="nil"/>
              <w:left w:val="nil"/>
              <w:bottom w:val="single" w:sz="8"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58.3</w:t>
            </w:r>
          </w:p>
        </w:tc>
        <w:tc>
          <w:tcPr>
            <w:tcW w:w="551"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7.5</w:t>
            </w:r>
          </w:p>
        </w:tc>
        <w:tc>
          <w:tcPr>
            <w:tcW w:w="678" w:type="dxa"/>
            <w:tcBorders>
              <w:top w:val="nil"/>
              <w:left w:val="nil"/>
              <w:bottom w:val="single" w:sz="8"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47.6</w:t>
            </w:r>
          </w:p>
        </w:tc>
        <w:tc>
          <w:tcPr>
            <w:tcW w:w="561"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6</w:t>
            </w:r>
          </w:p>
        </w:tc>
        <w:tc>
          <w:tcPr>
            <w:tcW w:w="561" w:type="dxa"/>
            <w:tcBorders>
              <w:top w:val="nil"/>
              <w:left w:val="nil"/>
              <w:bottom w:val="single" w:sz="8"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51</w:t>
            </w:r>
          </w:p>
        </w:tc>
        <w:tc>
          <w:tcPr>
            <w:tcW w:w="678"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31.4</w:t>
            </w:r>
          </w:p>
        </w:tc>
        <w:tc>
          <w:tcPr>
            <w:tcW w:w="678" w:type="dxa"/>
            <w:tcBorders>
              <w:top w:val="nil"/>
              <w:left w:val="nil"/>
              <w:bottom w:val="single" w:sz="8"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60</w:t>
            </w:r>
          </w:p>
        </w:tc>
        <w:tc>
          <w:tcPr>
            <w:tcW w:w="551"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13</w:t>
            </w:r>
          </w:p>
        </w:tc>
        <w:tc>
          <w:tcPr>
            <w:tcW w:w="551" w:type="dxa"/>
            <w:tcBorders>
              <w:top w:val="nil"/>
              <w:left w:val="nil"/>
              <w:bottom w:val="single" w:sz="8"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55</w:t>
            </w:r>
          </w:p>
        </w:tc>
        <w:tc>
          <w:tcPr>
            <w:tcW w:w="678"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14.5</w:t>
            </w:r>
          </w:p>
        </w:tc>
        <w:tc>
          <w:tcPr>
            <w:tcW w:w="678" w:type="dxa"/>
            <w:tcBorders>
              <w:top w:val="nil"/>
              <w:left w:val="nil"/>
              <w:bottom w:val="single" w:sz="8"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54.5</w:t>
            </w:r>
          </w:p>
        </w:tc>
        <w:tc>
          <w:tcPr>
            <w:tcW w:w="678"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6.3</w:t>
            </w:r>
          </w:p>
        </w:tc>
        <w:tc>
          <w:tcPr>
            <w:tcW w:w="678" w:type="dxa"/>
            <w:tcBorders>
              <w:top w:val="nil"/>
              <w:left w:val="nil"/>
              <w:bottom w:val="single" w:sz="8" w:space="0" w:color="auto"/>
              <w:right w:val="single" w:sz="4"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38.6</w:t>
            </w:r>
          </w:p>
        </w:tc>
        <w:tc>
          <w:tcPr>
            <w:tcW w:w="129" w:type="dxa"/>
            <w:tcBorders>
              <w:top w:val="nil"/>
              <w:left w:val="nil"/>
              <w:bottom w:val="single" w:sz="8" w:space="0" w:color="auto"/>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13.4</w:t>
            </w:r>
          </w:p>
        </w:tc>
        <w:tc>
          <w:tcPr>
            <w:tcW w:w="678" w:type="dxa"/>
            <w:tcBorders>
              <w:top w:val="nil"/>
              <w:left w:val="nil"/>
              <w:bottom w:val="single" w:sz="8" w:space="0" w:color="auto"/>
              <w:right w:val="single" w:sz="8" w:space="0" w:color="auto"/>
            </w:tcBorders>
            <w:shd w:val="clear" w:color="000000" w:fill="D9D9D9"/>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52.1</w:t>
            </w:r>
          </w:p>
        </w:tc>
      </w:tr>
      <w:tr w:rsidR="0038569A" w:rsidRPr="00054E92" w:rsidTr="0038569A">
        <w:trPr>
          <w:trHeight w:val="60"/>
        </w:trPr>
        <w:tc>
          <w:tcPr>
            <w:tcW w:w="2738" w:type="dxa"/>
            <w:tcBorders>
              <w:top w:val="nil"/>
              <w:left w:val="single" w:sz="8" w:space="0" w:color="auto"/>
              <w:bottom w:val="single" w:sz="8" w:space="0" w:color="auto"/>
              <w:right w:val="nil"/>
            </w:tcBorders>
            <w:shd w:val="clear" w:color="auto" w:fill="auto"/>
            <w:vAlign w:val="bottom"/>
            <w:hideMark/>
          </w:tcPr>
          <w:p w:rsidR="0038569A" w:rsidRPr="00054E92" w:rsidRDefault="0038569A" w:rsidP="00054E92">
            <w:pPr>
              <w:spacing w:after="0" w:line="240" w:lineRule="auto"/>
              <w:ind w:firstLineChars="100" w:firstLine="240"/>
              <w:rPr>
                <w:rFonts w:eastAsia="Times New Roman" w:cstheme="minorHAnsi"/>
                <w:i/>
                <w:iCs/>
                <w:color w:val="000000"/>
                <w:sz w:val="24"/>
                <w:szCs w:val="24"/>
              </w:rPr>
            </w:pPr>
            <w:r w:rsidRPr="00054E92">
              <w:rPr>
                <w:rFonts w:eastAsia="Times New Roman" w:cstheme="minorHAnsi"/>
                <w:i/>
                <w:iCs/>
                <w:color w:val="000000"/>
                <w:sz w:val="24"/>
                <w:szCs w:val="24"/>
              </w:rPr>
              <w:t> </w:t>
            </w:r>
          </w:p>
        </w:tc>
        <w:tc>
          <w:tcPr>
            <w:tcW w:w="678"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51"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61"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61"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51"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551"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129"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8" w:space="0" w:color="auto"/>
              <w:right w:val="nil"/>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678" w:type="dxa"/>
            <w:tcBorders>
              <w:top w:val="nil"/>
              <w:left w:val="nil"/>
              <w:bottom w:val="single" w:sz="8" w:space="0" w:color="auto"/>
              <w:right w:val="single" w:sz="8"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r>
      <w:tr w:rsidR="0038569A" w:rsidRPr="00054E92" w:rsidTr="0038569A">
        <w:trPr>
          <w:trHeight w:val="315"/>
        </w:trPr>
        <w:tc>
          <w:tcPr>
            <w:tcW w:w="2738"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38569A" w:rsidRPr="00054E92" w:rsidRDefault="0038569A" w:rsidP="0038569A">
            <w:pPr>
              <w:spacing w:after="0" w:line="240" w:lineRule="auto"/>
              <w:rPr>
                <w:rFonts w:eastAsia="Times New Roman" w:cstheme="minorHAnsi"/>
                <w:color w:val="000000"/>
                <w:sz w:val="24"/>
                <w:szCs w:val="24"/>
              </w:rPr>
            </w:pPr>
            <w:r w:rsidRPr="00054E92">
              <w:rPr>
                <w:rFonts w:eastAsia="Times New Roman" w:cstheme="minorHAnsi"/>
                <w:color w:val="000000"/>
                <w:sz w:val="24"/>
                <w:szCs w:val="24"/>
              </w:rPr>
              <w:t>Data Source:</w:t>
            </w:r>
          </w:p>
        </w:tc>
        <w:tc>
          <w:tcPr>
            <w:tcW w:w="1356" w:type="dxa"/>
            <w:gridSpan w:val="2"/>
            <w:tcBorders>
              <w:top w:val="single" w:sz="8" w:space="0" w:color="auto"/>
              <w:left w:val="nil"/>
              <w:bottom w:val="single" w:sz="8" w:space="0" w:color="auto"/>
              <w:right w:val="single" w:sz="4" w:space="0" w:color="000000"/>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ACS 2007</w:t>
            </w:r>
          </w:p>
        </w:tc>
        <w:tc>
          <w:tcPr>
            <w:tcW w:w="1229" w:type="dxa"/>
            <w:gridSpan w:val="2"/>
            <w:tcBorders>
              <w:top w:val="single" w:sz="8" w:space="0" w:color="auto"/>
              <w:left w:val="nil"/>
              <w:bottom w:val="single" w:sz="8" w:space="0" w:color="auto"/>
              <w:right w:val="single" w:sz="4" w:space="0" w:color="000000"/>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Census 2000</w:t>
            </w:r>
          </w:p>
        </w:tc>
        <w:tc>
          <w:tcPr>
            <w:tcW w:w="1122" w:type="dxa"/>
            <w:gridSpan w:val="2"/>
            <w:tcBorders>
              <w:top w:val="single" w:sz="8" w:space="0" w:color="auto"/>
              <w:left w:val="nil"/>
              <w:bottom w:val="single" w:sz="8" w:space="0" w:color="auto"/>
              <w:right w:val="single" w:sz="4" w:space="0" w:color="000000"/>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Census 2000</w:t>
            </w:r>
          </w:p>
        </w:tc>
        <w:tc>
          <w:tcPr>
            <w:tcW w:w="1356" w:type="dxa"/>
            <w:gridSpan w:val="2"/>
            <w:tcBorders>
              <w:top w:val="single" w:sz="8" w:space="0" w:color="auto"/>
              <w:left w:val="nil"/>
              <w:bottom w:val="single" w:sz="8" w:space="0" w:color="auto"/>
              <w:right w:val="single" w:sz="4" w:space="0" w:color="000000"/>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ACS 2007</w:t>
            </w:r>
          </w:p>
        </w:tc>
        <w:tc>
          <w:tcPr>
            <w:tcW w:w="1102" w:type="dxa"/>
            <w:gridSpan w:val="2"/>
            <w:tcBorders>
              <w:top w:val="single" w:sz="8" w:space="0" w:color="auto"/>
              <w:left w:val="nil"/>
              <w:bottom w:val="single" w:sz="8" w:space="0" w:color="auto"/>
              <w:right w:val="single" w:sz="4" w:space="0" w:color="000000"/>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ACS 2005</w:t>
            </w:r>
          </w:p>
        </w:tc>
        <w:tc>
          <w:tcPr>
            <w:tcW w:w="1356" w:type="dxa"/>
            <w:gridSpan w:val="2"/>
            <w:tcBorders>
              <w:top w:val="single" w:sz="8" w:space="0" w:color="auto"/>
              <w:left w:val="nil"/>
              <w:bottom w:val="single" w:sz="8" w:space="0" w:color="auto"/>
              <w:right w:val="single" w:sz="4" w:space="0" w:color="000000"/>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ACS 2007</w:t>
            </w:r>
          </w:p>
        </w:tc>
        <w:tc>
          <w:tcPr>
            <w:tcW w:w="1356" w:type="dxa"/>
            <w:gridSpan w:val="2"/>
            <w:tcBorders>
              <w:top w:val="single" w:sz="8" w:space="0" w:color="auto"/>
              <w:left w:val="nil"/>
              <w:bottom w:val="single" w:sz="8" w:space="0" w:color="auto"/>
              <w:right w:val="single" w:sz="4" w:space="0" w:color="000000"/>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Census 2000</w:t>
            </w:r>
          </w:p>
        </w:tc>
        <w:tc>
          <w:tcPr>
            <w:tcW w:w="129" w:type="dxa"/>
            <w:tcBorders>
              <w:top w:val="nil"/>
              <w:left w:val="nil"/>
              <w:bottom w:val="single" w:sz="8" w:space="0" w:color="auto"/>
              <w:right w:val="single" w:sz="4" w:space="0" w:color="auto"/>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c>
          <w:tcPr>
            <w:tcW w:w="135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8569A" w:rsidRPr="00054E92" w:rsidRDefault="0038569A" w:rsidP="0038569A">
            <w:pPr>
              <w:spacing w:after="0" w:line="240" w:lineRule="auto"/>
              <w:jc w:val="center"/>
              <w:rPr>
                <w:rFonts w:eastAsia="Times New Roman" w:cstheme="minorHAnsi"/>
                <w:color w:val="000000"/>
                <w:sz w:val="24"/>
                <w:szCs w:val="24"/>
              </w:rPr>
            </w:pPr>
            <w:r w:rsidRPr="00054E92">
              <w:rPr>
                <w:rFonts w:eastAsia="Times New Roman" w:cstheme="minorHAnsi"/>
                <w:color w:val="000000"/>
                <w:sz w:val="24"/>
                <w:szCs w:val="24"/>
              </w:rPr>
              <w:t> </w:t>
            </w:r>
          </w:p>
        </w:tc>
      </w:tr>
    </w:tbl>
    <w:p w:rsidR="0038569A" w:rsidRPr="00054E92" w:rsidRDefault="0038569A">
      <w:pPr>
        <w:rPr>
          <w:rFonts w:cstheme="minorHAnsi"/>
          <w:b/>
          <w:sz w:val="24"/>
          <w:szCs w:val="24"/>
          <w:u w:val="single"/>
        </w:rPr>
        <w:sectPr w:rsidR="0038569A" w:rsidRPr="00054E92" w:rsidSect="0038569A">
          <w:pgSz w:w="15840" w:h="12240" w:orient="landscape"/>
          <w:pgMar w:top="1440" w:right="1080" w:bottom="1440" w:left="1080" w:header="720" w:footer="720" w:gutter="0"/>
          <w:cols w:space="720"/>
          <w:docGrid w:linePitch="360"/>
        </w:sectPr>
      </w:pPr>
    </w:p>
    <w:p w:rsidR="00932F0C" w:rsidRPr="00054E92" w:rsidRDefault="00932F0C" w:rsidP="009E4E1D">
      <w:pPr>
        <w:rPr>
          <w:rFonts w:cstheme="minorHAnsi"/>
          <w:b/>
          <w:sz w:val="24"/>
          <w:szCs w:val="24"/>
          <w:u w:val="single"/>
        </w:rPr>
      </w:pPr>
      <w:r w:rsidRPr="00054E92">
        <w:rPr>
          <w:rFonts w:cstheme="minorHAnsi"/>
          <w:b/>
          <w:sz w:val="24"/>
          <w:szCs w:val="24"/>
          <w:u w:val="single"/>
        </w:rPr>
        <w:t>References</w:t>
      </w:r>
    </w:p>
    <w:p w:rsidR="00932F0C" w:rsidRPr="00054E92" w:rsidRDefault="00932F0C" w:rsidP="00932F0C">
      <w:pPr>
        <w:pStyle w:val="03c-endnoteTextStyles"/>
        <w:rPr>
          <w:rFonts w:asciiTheme="minorHAnsi" w:hAnsiTheme="minorHAnsi" w:cstheme="minorHAnsi"/>
          <w:sz w:val="24"/>
          <w:szCs w:val="24"/>
          <w:vertAlign w:val="baseline"/>
        </w:rPr>
      </w:pPr>
      <w:r w:rsidRPr="00054E92">
        <w:rPr>
          <w:rFonts w:asciiTheme="minorHAnsi" w:hAnsiTheme="minorHAnsi" w:cstheme="minorHAnsi"/>
          <w:sz w:val="24"/>
          <w:szCs w:val="24"/>
          <w:vertAlign w:val="baseline"/>
        </w:rPr>
        <w:t xml:space="preserve">Bergmann, B. &amp; Renwick, T. (1993). A budget-based definition of poverty: With an application to single-parent families. </w:t>
      </w:r>
      <w:r w:rsidRPr="00054E92">
        <w:rPr>
          <w:rFonts w:asciiTheme="minorHAnsi" w:hAnsiTheme="minorHAnsi" w:cstheme="minorHAnsi"/>
          <w:i/>
          <w:iCs/>
          <w:sz w:val="24"/>
          <w:szCs w:val="24"/>
          <w:vertAlign w:val="baseline"/>
        </w:rPr>
        <w:t>The Journal of Human Resources</w:t>
      </w:r>
      <w:r w:rsidRPr="00054E92">
        <w:rPr>
          <w:rFonts w:asciiTheme="minorHAnsi" w:hAnsiTheme="minorHAnsi" w:cstheme="minorHAnsi"/>
          <w:sz w:val="24"/>
          <w:szCs w:val="24"/>
          <w:vertAlign w:val="baseline"/>
        </w:rPr>
        <w:t>, 28 (1), 1-24.</w:t>
      </w:r>
      <w:r w:rsidRPr="00054E92">
        <w:rPr>
          <w:rFonts w:asciiTheme="minorHAnsi" w:hAnsiTheme="minorHAnsi" w:cstheme="minorHAnsi"/>
          <w:sz w:val="24"/>
          <w:szCs w:val="24"/>
          <w:vertAlign w:val="baseline"/>
        </w:rPr>
        <w:tab/>
      </w:r>
    </w:p>
    <w:p w:rsidR="00932F0C" w:rsidRPr="00054E92" w:rsidRDefault="00932F0C" w:rsidP="00932F0C">
      <w:pPr>
        <w:pStyle w:val="Body-endnoteTextStyles"/>
        <w:rPr>
          <w:rFonts w:asciiTheme="minorHAnsi" w:hAnsiTheme="minorHAnsi" w:cstheme="minorHAnsi"/>
          <w:sz w:val="24"/>
          <w:szCs w:val="24"/>
        </w:rPr>
      </w:pPr>
      <w:r w:rsidRPr="00054E92">
        <w:rPr>
          <w:rFonts w:asciiTheme="minorHAnsi" w:hAnsiTheme="minorHAnsi" w:cstheme="minorHAnsi"/>
          <w:sz w:val="24"/>
          <w:szCs w:val="24"/>
        </w:rPr>
        <w:t xml:space="preserve">Bernstein, </w:t>
      </w:r>
      <w:r w:rsidR="003C319C" w:rsidRPr="00054E92">
        <w:rPr>
          <w:rFonts w:asciiTheme="minorHAnsi" w:hAnsiTheme="minorHAnsi" w:cstheme="minorHAnsi"/>
          <w:sz w:val="24"/>
          <w:szCs w:val="24"/>
        </w:rPr>
        <w:t xml:space="preserve">J.  2008.  </w:t>
      </w:r>
      <w:r w:rsidRPr="00054E92">
        <w:rPr>
          <w:rFonts w:asciiTheme="minorHAnsi" w:hAnsiTheme="minorHAnsi" w:cstheme="minorHAnsi"/>
          <w:i/>
          <w:iCs/>
          <w:sz w:val="24"/>
          <w:szCs w:val="24"/>
        </w:rPr>
        <w:t>Crunch: Why Do I Feel so Squeezed (and ot</w:t>
      </w:r>
      <w:r w:rsidR="003C319C" w:rsidRPr="00054E92">
        <w:rPr>
          <w:rFonts w:asciiTheme="minorHAnsi" w:hAnsiTheme="minorHAnsi" w:cstheme="minorHAnsi"/>
          <w:i/>
          <w:iCs/>
          <w:sz w:val="24"/>
          <w:szCs w:val="24"/>
        </w:rPr>
        <w:t xml:space="preserve">her Unsolved Economic Mysteries. </w:t>
      </w:r>
      <w:r w:rsidRPr="00054E92">
        <w:rPr>
          <w:rFonts w:asciiTheme="minorHAnsi" w:hAnsiTheme="minorHAnsi" w:cstheme="minorHAnsi"/>
          <w:sz w:val="24"/>
          <w:szCs w:val="24"/>
        </w:rPr>
        <w:t>San Francisco, CA: Berrett-Koehler Publishers, Inc.</w:t>
      </w:r>
      <w:r w:rsidR="003C319C" w:rsidRPr="00054E92">
        <w:rPr>
          <w:rFonts w:asciiTheme="minorHAnsi" w:hAnsiTheme="minorHAnsi" w:cstheme="minorHAnsi"/>
          <w:sz w:val="24"/>
          <w:szCs w:val="24"/>
        </w:rPr>
        <w:t xml:space="preserve"> </w:t>
      </w:r>
    </w:p>
    <w:p w:rsidR="005C4CDA" w:rsidRPr="00054E92" w:rsidRDefault="005C4CDA" w:rsidP="00932F0C">
      <w:pPr>
        <w:pStyle w:val="Body-endnoteTextStyles"/>
        <w:rPr>
          <w:rFonts w:asciiTheme="minorHAnsi" w:hAnsiTheme="minorHAnsi" w:cstheme="minorHAnsi"/>
          <w:sz w:val="24"/>
          <w:szCs w:val="24"/>
        </w:rPr>
      </w:pPr>
      <w:r w:rsidRPr="00054E92">
        <w:rPr>
          <w:rFonts w:asciiTheme="minorHAnsi" w:hAnsiTheme="minorHAnsi" w:cstheme="minorHAnsi"/>
          <w:sz w:val="24"/>
          <w:szCs w:val="24"/>
        </w:rPr>
        <w:t xml:space="preserve">Blank, R.  </w:t>
      </w:r>
      <w:r w:rsidR="00054E92" w:rsidRPr="00054E92">
        <w:rPr>
          <w:rFonts w:asciiTheme="minorHAnsi" w:hAnsiTheme="minorHAnsi" w:cstheme="minorHAnsi"/>
          <w:sz w:val="24"/>
          <w:szCs w:val="24"/>
        </w:rPr>
        <w:t xml:space="preserve"> </w:t>
      </w:r>
      <w:r w:rsidRPr="00054E92">
        <w:rPr>
          <w:rFonts w:asciiTheme="minorHAnsi" w:hAnsiTheme="minorHAnsi" w:cstheme="minorHAnsi"/>
          <w:sz w:val="24"/>
          <w:szCs w:val="24"/>
        </w:rPr>
        <w:t xml:space="preserve">2008.  </w:t>
      </w:r>
      <w:r w:rsidR="00054E92" w:rsidRPr="00054E92">
        <w:rPr>
          <w:rFonts w:asciiTheme="minorHAnsi" w:hAnsiTheme="minorHAnsi" w:cstheme="minorHAnsi"/>
          <w:sz w:val="24"/>
          <w:szCs w:val="24"/>
        </w:rPr>
        <w:t xml:space="preserve">“Presidential Address:  How to Improve Poverty Measurement in the United States.” </w:t>
      </w:r>
      <w:r w:rsidRPr="00054E92">
        <w:rPr>
          <w:rFonts w:asciiTheme="minorHAnsi" w:hAnsiTheme="minorHAnsi" w:cstheme="minorHAnsi"/>
          <w:i/>
          <w:sz w:val="24"/>
          <w:szCs w:val="24"/>
        </w:rPr>
        <w:t xml:space="preserve">Journal of Public Policy and Management, </w:t>
      </w:r>
      <w:r w:rsidRPr="00054E92">
        <w:rPr>
          <w:rFonts w:asciiTheme="minorHAnsi" w:hAnsiTheme="minorHAnsi" w:cstheme="minorHAnsi"/>
          <w:sz w:val="24"/>
          <w:szCs w:val="24"/>
        </w:rPr>
        <w:t xml:space="preserve">Vol </w:t>
      </w:r>
      <w:r w:rsidR="00054E92" w:rsidRPr="00054E92">
        <w:rPr>
          <w:rFonts w:asciiTheme="minorHAnsi" w:hAnsiTheme="minorHAnsi" w:cstheme="minorHAnsi"/>
          <w:sz w:val="24"/>
          <w:szCs w:val="24"/>
        </w:rPr>
        <w:t>27, No. 2, p.233-254.</w:t>
      </w:r>
    </w:p>
    <w:p w:rsidR="0040126A" w:rsidRPr="00054E92" w:rsidRDefault="0040126A" w:rsidP="00932F0C">
      <w:pPr>
        <w:pStyle w:val="Body-endnoteTextStyles"/>
        <w:rPr>
          <w:rFonts w:asciiTheme="minorHAnsi" w:hAnsiTheme="minorHAnsi" w:cstheme="minorHAnsi"/>
          <w:i/>
          <w:sz w:val="24"/>
          <w:szCs w:val="24"/>
        </w:rPr>
      </w:pPr>
      <w:r w:rsidRPr="00054E92">
        <w:rPr>
          <w:rFonts w:asciiTheme="minorHAnsi" w:hAnsiTheme="minorHAnsi" w:cstheme="minorHAnsi"/>
          <w:sz w:val="24"/>
          <w:szCs w:val="24"/>
        </w:rPr>
        <w:t>Blank, R. and Greenberg, M.  2008. “Improving the Measurement of Poverty.”  The Hamilton Project, Brookings Institution. (December).</w:t>
      </w:r>
    </w:p>
    <w:p w:rsidR="00371AC9" w:rsidRPr="00054E92" w:rsidRDefault="00371AC9" w:rsidP="00932F0C">
      <w:pPr>
        <w:pStyle w:val="03c-endnoteTextStyles"/>
        <w:rPr>
          <w:rFonts w:asciiTheme="minorHAnsi" w:hAnsiTheme="minorHAnsi" w:cstheme="minorHAnsi"/>
          <w:sz w:val="24"/>
          <w:szCs w:val="24"/>
          <w:vertAlign w:val="baseline"/>
        </w:rPr>
      </w:pPr>
      <w:r w:rsidRPr="00054E92">
        <w:rPr>
          <w:rFonts w:asciiTheme="minorHAnsi" w:hAnsiTheme="minorHAnsi" w:cstheme="minorHAnsi"/>
          <w:sz w:val="24"/>
          <w:szCs w:val="24"/>
          <w:vertAlign w:val="baseline"/>
        </w:rPr>
        <w:t>Brocht, C., J. Bernstein and  M. Spade-Augilar.. 2000.  How Much Is Enough?  Basic Family Budgets for Working Families. Economic Policy Institute. Washington, D.C.</w:t>
      </w:r>
    </w:p>
    <w:p w:rsidR="00932F0C" w:rsidRPr="00054E92" w:rsidRDefault="00932F0C" w:rsidP="00932F0C">
      <w:pPr>
        <w:pStyle w:val="03c-endnoteTextStyles"/>
        <w:rPr>
          <w:rFonts w:asciiTheme="minorHAnsi" w:hAnsiTheme="minorHAnsi" w:cstheme="minorHAnsi"/>
          <w:sz w:val="24"/>
          <w:szCs w:val="24"/>
          <w:vertAlign w:val="baseline"/>
        </w:rPr>
      </w:pPr>
      <w:r w:rsidRPr="00054E92">
        <w:rPr>
          <w:rFonts w:asciiTheme="minorHAnsi" w:hAnsiTheme="minorHAnsi" w:cstheme="minorHAnsi"/>
          <w:sz w:val="24"/>
          <w:szCs w:val="24"/>
          <w:vertAlign w:val="baseline"/>
        </w:rPr>
        <w:t>Cauthen, N. K. and Hsien-</w:t>
      </w:r>
      <w:r w:rsidR="0040126A" w:rsidRPr="00054E92">
        <w:rPr>
          <w:rFonts w:asciiTheme="minorHAnsi" w:hAnsiTheme="minorHAnsi" w:cstheme="minorHAnsi"/>
          <w:sz w:val="24"/>
          <w:szCs w:val="24"/>
          <w:vertAlign w:val="baseline"/>
        </w:rPr>
        <w:t>Hen L. 2003</w:t>
      </w:r>
      <w:r w:rsidRPr="00054E92">
        <w:rPr>
          <w:rFonts w:asciiTheme="minorHAnsi" w:hAnsiTheme="minorHAnsi" w:cstheme="minorHAnsi"/>
          <w:sz w:val="24"/>
          <w:szCs w:val="24"/>
          <w:vertAlign w:val="baseline"/>
        </w:rPr>
        <w:t xml:space="preserve">. </w:t>
      </w:r>
      <w:r w:rsidRPr="00054E92">
        <w:rPr>
          <w:rFonts w:asciiTheme="minorHAnsi" w:hAnsiTheme="minorHAnsi" w:cstheme="minorHAnsi"/>
          <w:i/>
          <w:iCs/>
          <w:sz w:val="24"/>
          <w:szCs w:val="24"/>
          <w:vertAlign w:val="baseline"/>
        </w:rPr>
        <w:t>Living at the edge, Research Brief 1: Employment alone is not enough for America’s low-income families</w:t>
      </w:r>
      <w:r w:rsidRPr="00054E92">
        <w:rPr>
          <w:rFonts w:asciiTheme="minorHAnsi" w:hAnsiTheme="minorHAnsi" w:cstheme="minorHAnsi"/>
          <w:sz w:val="24"/>
          <w:szCs w:val="24"/>
          <w:vertAlign w:val="baseline"/>
        </w:rPr>
        <w:t>. New York City: Columbia University, National Center for Children in Poverty.</w:t>
      </w:r>
    </w:p>
    <w:p w:rsidR="00435C92" w:rsidRPr="00054E92" w:rsidRDefault="00435C92" w:rsidP="00932F0C">
      <w:pPr>
        <w:pStyle w:val="03c-endnoteTextStyles"/>
        <w:rPr>
          <w:rFonts w:asciiTheme="minorHAnsi" w:hAnsiTheme="minorHAnsi" w:cstheme="minorHAnsi"/>
          <w:sz w:val="24"/>
          <w:szCs w:val="24"/>
          <w:vertAlign w:val="baseline"/>
        </w:rPr>
      </w:pPr>
      <w:r w:rsidRPr="00054E92">
        <w:rPr>
          <w:rFonts w:asciiTheme="minorHAnsi" w:hAnsiTheme="minorHAnsi" w:cstheme="minorHAnsi"/>
          <w:sz w:val="24"/>
          <w:szCs w:val="24"/>
          <w:vertAlign w:val="baseline"/>
        </w:rPr>
        <w:t>Cauthen, N. K. and S. Fass. 2008. “Measuring Poverty in the United States”.  National Center for Children and Poverty. Milkman School of Public Health, Columbia University.</w:t>
      </w:r>
    </w:p>
    <w:p w:rsidR="00932F0C" w:rsidRPr="00054E92" w:rsidRDefault="00932F0C" w:rsidP="00932F0C">
      <w:pPr>
        <w:pStyle w:val="03c-endnoteTextStyles"/>
        <w:rPr>
          <w:rFonts w:asciiTheme="minorHAnsi" w:hAnsiTheme="minorHAnsi" w:cstheme="minorHAnsi"/>
          <w:sz w:val="24"/>
          <w:szCs w:val="24"/>
          <w:vertAlign w:val="baseline"/>
        </w:rPr>
      </w:pPr>
      <w:r w:rsidRPr="00054E92">
        <w:rPr>
          <w:rFonts w:asciiTheme="minorHAnsi" w:hAnsiTheme="minorHAnsi" w:cstheme="minorHAnsi"/>
          <w:sz w:val="24"/>
          <w:szCs w:val="24"/>
          <w:vertAlign w:val="baseline"/>
        </w:rPr>
        <w:t>Citro, C. &amp; Michael, R. Eds</w:t>
      </w:r>
      <w:r w:rsidR="0040126A" w:rsidRPr="00054E92">
        <w:rPr>
          <w:rFonts w:asciiTheme="minorHAnsi" w:hAnsiTheme="minorHAnsi" w:cstheme="minorHAnsi"/>
          <w:sz w:val="24"/>
          <w:szCs w:val="24"/>
          <w:vertAlign w:val="baseline"/>
        </w:rPr>
        <w:t>. 1995</w:t>
      </w:r>
      <w:r w:rsidRPr="00054E92">
        <w:rPr>
          <w:rFonts w:asciiTheme="minorHAnsi" w:hAnsiTheme="minorHAnsi" w:cstheme="minorHAnsi"/>
          <w:sz w:val="24"/>
          <w:szCs w:val="24"/>
          <w:vertAlign w:val="baseline"/>
        </w:rPr>
        <w:t xml:space="preserve">. </w:t>
      </w:r>
      <w:r w:rsidRPr="00054E92">
        <w:rPr>
          <w:rFonts w:asciiTheme="minorHAnsi" w:hAnsiTheme="minorHAnsi" w:cstheme="minorHAnsi"/>
          <w:i/>
          <w:iCs/>
          <w:sz w:val="24"/>
          <w:szCs w:val="24"/>
          <w:vertAlign w:val="baseline"/>
        </w:rPr>
        <w:t>Measuring poverty: A new approach</w:t>
      </w:r>
      <w:r w:rsidRPr="00054E92">
        <w:rPr>
          <w:rFonts w:asciiTheme="minorHAnsi" w:hAnsiTheme="minorHAnsi" w:cstheme="minorHAnsi"/>
          <w:sz w:val="24"/>
          <w:szCs w:val="24"/>
          <w:vertAlign w:val="baseline"/>
        </w:rPr>
        <w:t>. Washington, DC: National Academy Press</w:t>
      </w:r>
      <w:r w:rsidR="0040126A" w:rsidRPr="00054E92">
        <w:rPr>
          <w:rFonts w:asciiTheme="minorHAnsi" w:hAnsiTheme="minorHAnsi" w:cstheme="minorHAnsi"/>
          <w:sz w:val="24"/>
          <w:szCs w:val="24"/>
          <w:vertAlign w:val="baseline"/>
        </w:rPr>
        <w:t>.</w:t>
      </w:r>
    </w:p>
    <w:p w:rsidR="00371AC9" w:rsidRPr="00054E92" w:rsidRDefault="00371AC9" w:rsidP="00932F0C">
      <w:pPr>
        <w:pStyle w:val="03c-endnoteTextStyles"/>
        <w:rPr>
          <w:rFonts w:asciiTheme="minorHAnsi" w:hAnsiTheme="minorHAnsi" w:cstheme="minorHAnsi"/>
          <w:sz w:val="24"/>
          <w:szCs w:val="24"/>
          <w:vertAlign w:val="baseline"/>
        </w:rPr>
      </w:pPr>
      <w:r w:rsidRPr="00054E92">
        <w:rPr>
          <w:rFonts w:asciiTheme="minorHAnsi" w:hAnsiTheme="minorHAnsi" w:cstheme="minorHAnsi"/>
          <w:sz w:val="24"/>
          <w:szCs w:val="24"/>
          <w:vertAlign w:val="baseline"/>
        </w:rPr>
        <w:t xml:space="preserve">Couch, K. A. and M. A. Pirog. 2010. “Poverty Measurement in the U.S., </w:t>
      </w:r>
      <w:r w:rsidR="00A976E5" w:rsidRPr="00054E92">
        <w:rPr>
          <w:rFonts w:asciiTheme="minorHAnsi" w:hAnsiTheme="minorHAnsi" w:cstheme="minorHAnsi"/>
          <w:sz w:val="24"/>
          <w:szCs w:val="24"/>
          <w:vertAlign w:val="baseline"/>
        </w:rPr>
        <w:t>Europe</w:t>
      </w:r>
      <w:r w:rsidRPr="00054E92">
        <w:rPr>
          <w:rFonts w:asciiTheme="minorHAnsi" w:hAnsiTheme="minorHAnsi" w:cstheme="minorHAnsi"/>
          <w:sz w:val="24"/>
          <w:szCs w:val="24"/>
          <w:vertAlign w:val="baseline"/>
        </w:rPr>
        <w:t xml:space="preserve">, and Developing Countries.” </w:t>
      </w:r>
      <w:r w:rsidRPr="00054E92">
        <w:rPr>
          <w:rFonts w:asciiTheme="minorHAnsi" w:hAnsiTheme="minorHAnsi" w:cstheme="minorHAnsi"/>
          <w:i/>
          <w:sz w:val="24"/>
          <w:szCs w:val="24"/>
          <w:vertAlign w:val="baseline"/>
        </w:rPr>
        <w:t xml:space="preserve">Journal of Policy Analysis and Management </w:t>
      </w:r>
      <w:r w:rsidRPr="00054E92">
        <w:rPr>
          <w:rFonts w:asciiTheme="minorHAnsi" w:hAnsiTheme="minorHAnsi" w:cstheme="minorHAnsi"/>
          <w:sz w:val="24"/>
          <w:szCs w:val="24"/>
          <w:vertAlign w:val="baseline"/>
        </w:rPr>
        <w:t>(Vol. 29, No. 2), p. 217-226.</w:t>
      </w:r>
    </w:p>
    <w:p w:rsidR="008953C3" w:rsidRPr="00054E92" w:rsidRDefault="008953C3" w:rsidP="00932F0C">
      <w:pPr>
        <w:pStyle w:val="03c-endnoteTextStyles"/>
        <w:rPr>
          <w:rFonts w:asciiTheme="minorHAnsi" w:hAnsiTheme="minorHAnsi" w:cstheme="minorHAnsi"/>
          <w:sz w:val="24"/>
          <w:szCs w:val="24"/>
          <w:vertAlign w:val="baseline"/>
        </w:rPr>
      </w:pPr>
      <w:r w:rsidRPr="00054E92">
        <w:rPr>
          <w:rFonts w:asciiTheme="minorHAnsi" w:hAnsiTheme="minorHAnsi" w:cstheme="minorHAnsi"/>
          <w:sz w:val="24"/>
          <w:szCs w:val="24"/>
          <w:vertAlign w:val="baseline"/>
        </w:rPr>
        <w:t xml:space="preserve">DeCrappeo, M. , D. Pelletiere, Crowley, S., and E. Teater.  </w:t>
      </w:r>
      <w:r w:rsidRPr="00054E92">
        <w:rPr>
          <w:rFonts w:asciiTheme="minorHAnsi" w:hAnsiTheme="minorHAnsi" w:cstheme="minorHAnsi"/>
          <w:i/>
          <w:sz w:val="24"/>
          <w:szCs w:val="24"/>
          <w:vertAlign w:val="baseline"/>
        </w:rPr>
        <w:t xml:space="preserve">Out of Reach 2010. </w:t>
      </w:r>
      <w:r w:rsidRPr="00054E92">
        <w:rPr>
          <w:rFonts w:asciiTheme="minorHAnsi" w:hAnsiTheme="minorHAnsi" w:cstheme="minorHAnsi"/>
          <w:sz w:val="24"/>
          <w:szCs w:val="24"/>
          <w:vertAlign w:val="baseline"/>
        </w:rPr>
        <w:t xml:space="preserve"> National Low-Income Housing Coalition.  Washington, D.C.</w:t>
      </w:r>
    </w:p>
    <w:p w:rsidR="0040126A" w:rsidRPr="00054E92" w:rsidRDefault="0040126A" w:rsidP="00932F0C">
      <w:pPr>
        <w:pStyle w:val="03c-endnoteTextStyles"/>
        <w:rPr>
          <w:rFonts w:asciiTheme="minorHAnsi" w:hAnsiTheme="minorHAnsi" w:cstheme="minorHAnsi"/>
          <w:sz w:val="24"/>
          <w:szCs w:val="24"/>
          <w:vertAlign w:val="baseline"/>
        </w:rPr>
      </w:pPr>
      <w:r w:rsidRPr="00054E92">
        <w:rPr>
          <w:rFonts w:asciiTheme="minorHAnsi" w:hAnsiTheme="minorHAnsi" w:cstheme="minorHAnsi"/>
          <w:sz w:val="24"/>
          <w:szCs w:val="24"/>
          <w:vertAlign w:val="baseline"/>
        </w:rPr>
        <w:t>Gabe. T/. 2007.  “Federal Programs That Use the ‘Official’ Poverty Definition for Determining Eligibility or for Allocating Funds.” Memo from the Congressional Research Service to the House Ways and Means Subcommittee on Income Securing and Family Support (October 30).  As cited in Blank, R. and Greenberg (2008)</w:t>
      </w:r>
      <w:r w:rsidR="003A2F1E" w:rsidRPr="00054E92">
        <w:rPr>
          <w:rFonts w:asciiTheme="minorHAnsi" w:hAnsiTheme="minorHAnsi" w:cstheme="minorHAnsi"/>
          <w:sz w:val="24"/>
          <w:szCs w:val="24"/>
          <w:vertAlign w:val="baseline"/>
        </w:rPr>
        <w:t>.</w:t>
      </w:r>
    </w:p>
    <w:p w:rsidR="00163DE2" w:rsidRPr="00054E92" w:rsidRDefault="00163DE2" w:rsidP="00163DE2">
      <w:pPr>
        <w:tabs>
          <w:tab w:val="left" w:pos="-720"/>
        </w:tabs>
        <w:suppressAutoHyphens/>
        <w:rPr>
          <w:rFonts w:cstheme="minorHAnsi"/>
          <w:sz w:val="24"/>
          <w:szCs w:val="24"/>
        </w:rPr>
      </w:pPr>
      <w:r w:rsidRPr="00054E92">
        <w:rPr>
          <w:rFonts w:cstheme="minorHAnsi"/>
          <w:sz w:val="24"/>
          <w:szCs w:val="24"/>
        </w:rPr>
        <w:t xml:space="preserve">Fisher, G. "The Development and History of the Poverty Thresholds,"  </w:t>
      </w:r>
      <w:r w:rsidRPr="00054E92">
        <w:rPr>
          <w:rFonts w:cstheme="minorHAnsi"/>
          <w:i/>
          <w:sz w:val="24"/>
          <w:szCs w:val="24"/>
        </w:rPr>
        <w:t>Social Security Bulletin</w:t>
      </w:r>
      <w:r w:rsidRPr="00054E92">
        <w:rPr>
          <w:rFonts w:cstheme="minorHAnsi"/>
          <w:sz w:val="24"/>
          <w:szCs w:val="24"/>
        </w:rPr>
        <w:t>, Vol. 55, No. 4, Winter 1992.</w:t>
      </w:r>
    </w:p>
    <w:p w:rsidR="006F5FAD" w:rsidRPr="00054E92" w:rsidRDefault="006F5FAD" w:rsidP="00163DE2">
      <w:pPr>
        <w:tabs>
          <w:tab w:val="left" w:pos="-720"/>
        </w:tabs>
        <w:suppressAutoHyphens/>
        <w:rPr>
          <w:rFonts w:cstheme="minorHAnsi"/>
          <w:sz w:val="24"/>
          <w:szCs w:val="24"/>
        </w:rPr>
      </w:pPr>
      <w:r w:rsidRPr="00054E92">
        <w:rPr>
          <w:rFonts w:cstheme="minorHAnsi"/>
          <w:sz w:val="24"/>
          <w:szCs w:val="24"/>
        </w:rPr>
        <w:t xml:space="preserve">Fisher, L., Pollakowski, and Zabel. 2007.  Amenity-based Housing Affordability Indices.  Downloaded October 19, 2011, </w:t>
      </w:r>
      <w:hyperlink r:id="rId13" w:history="1">
        <w:r w:rsidR="00F91C04" w:rsidRPr="00054E92">
          <w:rPr>
            <w:rStyle w:val="Hyperlink"/>
            <w:rFonts w:cstheme="minorHAnsi"/>
            <w:sz w:val="24"/>
            <w:szCs w:val="24"/>
          </w:rPr>
          <w:t>http://web.mit.edu/cre/research/hai/pdf/FPZ_021207.pdf</w:t>
        </w:r>
      </w:hyperlink>
      <w:r w:rsidR="00F91C04" w:rsidRPr="00054E92">
        <w:rPr>
          <w:rFonts w:cstheme="minorHAnsi"/>
          <w:sz w:val="24"/>
          <w:szCs w:val="24"/>
        </w:rPr>
        <w:t xml:space="preserve"> </w:t>
      </w:r>
    </w:p>
    <w:p w:rsidR="008953C3" w:rsidRPr="00054E92" w:rsidRDefault="008953C3" w:rsidP="00163DE2">
      <w:pPr>
        <w:tabs>
          <w:tab w:val="left" w:pos="-720"/>
        </w:tabs>
        <w:suppressAutoHyphens/>
        <w:rPr>
          <w:rFonts w:cstheme="minorHAnsi"/>
          <w:sz w:val="24"/>
          <w:szCs w:val="24"/>
        </w:rPr>
      </w:pPr>
      <w:r w:rsidRPr="00054E92">
        <w:rPr>
          <w:rFonts w:cstheme="minorHAnsi"/>
          <w:i/>
          <w:sz w:val="24"/>
          <w:szCs w:val="24"/>
        </w:rPr>
        <w:t>Focus</w:t>
      </w:r>
      <w:r w:rsidRPr="00054E92">
        <w:rPr>
          <w:rFonts w:cstheme="minorHAnsi"/>
          <w:sz w:val="24"/>
          <w:szCs w:val="24"/>
        </w:rPr>
        <w:t>, University of Wisconsin-Madison Institute for Research on Poverty.  Vol. 17, No. 1, Summer 1995. Measuring Poverty:  A new Approach and Assessments of the Panel Report.</w:t>
      </w:r>
    </w:p>
    <w:p w:rsidR="00163DE2" w:rsidRPr="00054E92" w:rsidRDefault="0077547B" w:rsidP="00932F0C">
      <w:pPr>
        <w:pStyle w:val="03c-endnoteTextStyles"/>
        <w:rPr>
          <w:rFonts w:asciiTheme="minorHAnsi" w:hAnsiTheme="minorHAnsi" w:cstheme="minorHAnsi"/>
          <w:sz w:val="24"/>
          <w:szCs w:val="24"/>
          <w:vertAlign w:val="baseline"/>
        </w:rPr>
      </w:pPr>
      <w:r w:rsidRPr="00054E92">
        <w:rPr>
          <w:rFonts w:asciiTheme="minorHAnsi" w:hAnsiTheme="minorHAnsi" w:cstheme="minorHAnsi"/>
          <w:sz w:val="24"/>
          <w:szCs w:val="24"/>
          <w:vertAlign w:val="baseline"/>
        </w:rPr>
        <w:t>Garner, T. and K. Short, “ Creating a Consistent Poverty Measure over Time Using NAS Procedures: 1996-2005”</w:t>
      </w:r>
    </w:p>
    <w:p w:rsidR="003A2F1E" w:rsidRPr="00054E92" w:rsidRDefault="003A2F1E" w:rsidP="00932F0C">
      <w:pPr>
        <w:pStyle w:val="03c-endnoteTextStyles"/>
        <w:rPr>
          <w:rFonts w:asciiTheme="minorHAnsi" w:hAnsiTheme="minorHAnsi" w:cstheme="minorHAnsi"/>
          <w:sz w:val="24"/>
          <w:szCs w:val="24"/>
          <w:vertAlign w:val="baseline"/>
        </w:rPr>
      </w:pPr>
      <w:r w:rsidRPr="00054E92">
        <w:rPr>
          <w:rFonts w:asciiTheme="minorHAnsi" w:hAnsiTheme="minorHAnsi" w:cstheme="minorHAnsi"/>
          <w:sz w:val="24"/>
          <w:szCs w:val="24"/>
          <w:vertAlign w:val="baseline"/>
        </w:rPr>
        <w:t>Greenberg, M. 2009. “It’s Time for a Better Poverty Measure.”  Center for American Progress.</w:t>
      </w:r>
    </w:p>
    <w:p w:rsidR="005C4CDA" w:rsidRPr="00054E92" w:rsidRDefault="005C4CDA" w:rsidP="00932F0C">
      <w:pPr>
        <w:pStyle w:val="03c-endnoteTextStyles"/>
        <w:rPr>
          <w:rFonts w:asciiTheme="minorHAnsi" w:hAnsiTheme="minorHAnsi" w:cstheme="minorHAnsi"/>
          <w:sz w:val="24"/>
          <w:szCs w:val="24"/>
          <w:vertAlign w:val="baseline"/>
        </w:rPr>
      </w:pPr>
      <w:r w:rsidRPr="00054E92">
        <w:rPr>
          <w:rFonts w:asciiTheme="minorHAnsi" w:hAnsiTheme="minorHAnsi" w:cstheme="minorHAnsi"/>
          <w:sz w:val="24"/>
          <w:szCs w:val="24"/>
          <w:vertAlign w:val="baseline"/>
        </w:rPr>
        <w:t xml:space="preserve">Interagency Technical Working Group. </w:t>
      </w:r>
      <w:r w:rsidR="009F12B2" w:rsidRPr="00054E92">
        <w:rPr>
          <w:rFonts w:asciiTheme="minorHAnsi" w:hAnsiTheme="minorHAnsi" w:cstheme="minorHAnsi"/>
          <w:sz w:val="24"/>
          <w:szCs w:val="24"/>
          <w:vertAlign w:val="baseline"/>
        </w:rPr>
        <w:t xml:space="preserve"> U.S. Department of Commerce, Census Bureau. </w:t>
      </w:r>
      <w:r w:rsidRPr="00054E92">
        <w:rPr>
          <w:rFonts w:asciiTheme="minorHAnsi" w:hAnsiTheme="minorHAnsi" w:cstheme="minorHAnsi"/>
          <w:sz w:val="24"/>
          <w:szCs w:val="24"/>
          <w:vertAlign w:val="baseline"/>
        </w:rPr>
        <w:t xml:space="preserve"> 2010.  “Observations from</w:t>
      </w:r>
      <w:r w:rsidR="009360EB" w:rsidRPr="00054E92">
        <w:rPr>
          <w:rFonts w:asciiTheme="minorHAnsi" w:hAnsiTheme="minorHAnsi" w:cstheme="minorHAnsi"/>
          <w:sz w:val="24"/>
          <w:szCs w:val="24"/>
          <w:vertAlign w:val="baseline"/>
        </w:rPr>
        <w:t xml:space="preserve">  </w:t>
      </w:r>
      <w:r w:rsidRPr="00054E92">
        <w:rPr>
          <w:rFonts w:asciiTheme="minorHAnsi" w:hAnsiTheme="minorHAnsi" w:cstheme="minorHAnsi"/>
          <w:sz w:val="24"/>
          <w:szCs w:val="24"/>
          <w:vertAlign w:val="baseline"/>
        </w:rPr>
        <w:t xml:space="preserve">the Interagency Technical Working Group on Developing a Supplemental Poverty Measure,” </w:t>
      </w:r>
      <w:r w:rsidR="009F12B2" w:rsidRPr="00054E92">
        <w:rPr>
          <w:rFonts w:asciiTheme="minorHAnsi" w:hAnsiTheme="minorHAnsi" w:cstheme="minorHAnsi"/>
          <w:sz w:val="24"/>
          <w:szCs w:val="24"/>
          <w:vertAlign w:val="baseline"/>
        </w:rPr>
        <w:t xml:space="preserve"> </w:t>
      </w:r>
      <w:hyperlink r:id="rId14" w:history="1">
        <w:r w:rsidR="009F12B2" w:rsidRPr="00054E92">
          <w:rPr>
            <w:rStyle w:val="Hyperlink"/>
            <w:rFonts w:asciiTheme="minorHAnsi" w:hAnsiTheme="minorHAnsi" w:cstheme="minorHAnsi"/>
            <w:sz w:val="24"/>
            <w:szCs w:val="24"/>
            <w:vertAlign w:val="baseline"/>
          </w:rPr>
          <w:t>http://www.census.gov/hhes/www/poverty/SPM_TWGObservations.pdf</w:t>
        </w:r>
      </w:hyperlink>
      <w:r w:rsidR="009F12B2" w:rsidRPr="00054E92">
        <w:rPr>
          <w:rFonts w:asciiTheme="minorHAnsi" w:hAnsiTheme="minorHAnsi" w:cstheme="minorHAnsi"/>
          <w:sz w:val="24"/>
          <w:szCs w:val="24"/>
          <w:vertAlign w:val="baseline"/>
        </w:rPr>
        <w:t xml:space="preserve"> (accessed October 19, 2011)</w:t>
      </w:r>
    </w:p>
    <w:p w:rsidR="007F6FE4" w:rsidRPr="00054E92" w:rsidRDefault="007F6FE4" w:rsidP="007F6FE4">
      <w:pPr>
        <w:suppressAutoHyphens/>
        <w:rPr>
          <w:rFonts w:cstheme="minorHAnsi"/>
          <w:sz w:val="24"/>
          <w:szCs w:val="24"/>
        </w:rPr>
      </w:pPr>
      <w:r w:rsidRPr="00054E92">
        <w:rPr>
          <w:rFonts w:cstheme="minorHAnsi"/>
          <w:sz w:val="24"/>
          <w:szCs w:val="24"/>
        </w:rPr>
        <w:t xml:space="preserve">Johnson, David S., John M. Rogers, and </w:t>
      </w:r>
      <w:r w:rsidR="00A976E5" w:rsidRPr="00054E92">
        <w:rPr>
          <w:rFonts w:cstheme="minorHAnsi"/>
          <w:sz w:val="24"/>
          <w:szCs w:val="24"/>
        </w:rPr>
        <w:t>Lucilla</w:t>
      </w:r>
      <w:r w:rsidR="00A976E5">
        <w:rPr>
          <w:rFonts w:cstheme="minorHAnsi"/>
          <w:sz w:val="24"/>
          <w:szCs w:val="24"/>
        </w:rPr>
        <w:t xml:space="preserve"> </w:t>
      </w:r>
      <w:r w:rsidR="00A976E5" w:rsidRPr="00054E92">
        <w:rPr>
          <w:rFonts w:cstheme="minorHAnsi"/>
          <w:sz w:val="24"/>
          <w:szCs w:val="24"/>
        </w:rPr>
        <w:t>Tan</w:t>
      </w:r>
      <w:r w:rsidRPr="00054E92">
        <w:rPr>
          <w:rFonts w:cstheme="minorHAnsi"/>
          <w:sz w:val="24"/>
          <w:szCs w:val="24"/>
        </w:rPr>
        <w:t xml:space="preserve">. 2001. “A century of family budgets in the United States.” </w:t>
      </w:r>
      <w:r w:rsidRPr="00054E92">
        <w:rPr>
          <w:rFonts w:cstheme="minorHAnsi"/>
          <w:i/>
          <w:sz w:val="24"/>
          <w:szCs w:val="24"/>
        </w:rPr>
        <w:t xml:space="preserve">Monthly Labor Review </w:t>
      </w:r>
      <w:r w:rsidRPr="00054E92">
        <w:rPr>
          <w:rFonts w:cstheme="minorHAnsi"/>
          <w:sz w:val="24"/>
          <w:szCs w:val="24"/>
        </w:rPr>
        <w:t>(May): 28-45.</w:t>
      </w:r>
    </w:p>
    <w:p w:rsidR="007F6FE4" w:rsidRPr="00054E92" w:rsidRDefault="007F6FE4" w:rsidP="007F6FE4">
      <w:pPr>
        <w:pStyle w:val="NormalWeb"/>
        <w:suppressAutoHyphens/>
        <w:rPr>
          <w:rFonts w:asciiTheme="minorHAnsi" w:hAnsiTheme="minorHAnsi" w:cstheme="minorHAnsi"/>
        </w:rPr>
      </w:pPr>
      <w:r w:rsidRPr="00054E92">
        <w:rPr>
          <w:rFonts w:asciiTheme="minorHAnsi" w:hAnsiTheme="minorHAnsi" w:cstheme="minorHAnsi"/>
        </w:rPr>
        <w:t xml:space="preserve">Orshansky, M. 1965.  "Counting the Poor: Another Look at the Poverty Profile.” </w:t>
      </w:r>
      <w:r w:rsidRPr="00054E92">
        <w:rPr>
          <w:rFonts w:asciiTheme="minorHAnsi" w:hAnsiTheme="minorHAnsi" w:cstheme="minorHAnsi"/>
          <w:i/>
          <w:iCs/>
        </w:rPr>
        <w:t>Social Security Bulletin</w:t>
      </w:r>
      <w:r w:rsidRPr="00054E92">
        <w:rPr>
          <w:rFonts w:asciiTheme="minorHAnsi" w:hAnsiTheme="minorHAnsi" w:cstheme="minorHAnsi"/>
        </w:rPr>
        <w:t xml:space="preserve"> 28 (1) 3-29. (Reprinted in </w:t>
      </w:r>
      <w:r w:rsidRPr="00054E92">
        <w:rPr>
          <w:rFonts w:asciiTheme="minorHAnsi" w:hAnsiTheme="minorHAnsi" w:cstheme="minorHAnsi"/>
          <w:i/>
          <w:iCs/>
        </w:rPr>
        <w:t>Social Security Bulletin</w:t>
      </w:r>
      <w:r w:rsidRPr="00054E92">
        <w:rPr>
          <w:rFonts w:asciiTheme="minorHAnsi" w:hAnsiTheme="minorHAnsi" w:cstheme="minorHAnsi"/>
        </w:rPr>
        <w:t>: 51 (10): 25-51. [1988])</w:t>
      </w:r>
    </w:p>
    <w:p w:rsidR="006B2485" w:rsidRPr="00054E92" w:rsidRDefault="006B2485" w:rsidP="006B2485">
      <w:pPr>
        <w:widowControl w:val="0"/>
        <w:autoSpaceDE w:val="0"/>
        <w:autoSpaceDN w:val="0"/>
        <w:adjustRightInd w:val="0"/>
        <w:spacing w:after="0"/>
        <w:rPr>
          <w:rFonts w:cstheme="minorHAnsi"/>
          <w:sz w:val="24"/>
          <w:szCs w:val="24"/>
        </w:rPr>
      </w:pPr>
      <w:r w:rsidRPr="00054E92">
        <w:rPr>
          <w:rFonts w:cstheme="minorHAnsi"/>
          <w:sz w:val="24"/>
          <w:szCs w:val="24"/>
        </w:rPr>
        <w:t>Pearce, D.M.  2007. “Overlooked and Undercounted: Struggling to Make Ends Meet in Colorado” for the Colorado Fiscal Policy Institute, (Center for Women’s Welfare, University of Washington School of Social Work).</w:t>
      </w:r>
    </w:p>
    <w:p w:rsidR="006B2485" w:rsidRPr="00054E92" w:rsidRDefault="002D518B" w:rsidP="006B2485">
      <w:pPr>
        <w:widowControl w:val="0"/>
        <w:autoSpaceDE w:val="0"/>
        <w:autoSpaceDN w:val="0"/>
        <w:adjustRightInd w:val="0"/>
        <w:spacing w:after="0"/>
        <w:rPr>
          <w:rFonts w:cstheme="minorHAnsi"/>
          <w:sz w:val="24"/>
          <w:szCs w:val="24"/>
        </w:rPr>
      </w:pPr>
      <w:hyperlink r:id="rId15" w:history="1">
        <w:r w:rsidR="006B2485" w:rsidRPr="00054E92">
          <w:rPr>
            <w:rStyle w:val="Hyperlink"/>
            <w:rFonts w:cstheme="minorHAnsi"/>
            <w:sz w:val="24"/>
            <w:szCs w:val="24"/>
          </w:rPr>
          <w:t>http://www.selfsufficiencystandard.org/docs/Colorado%20Demographic.pdf</w:t>
        </w:r>
      </w:hyperlink>
    </w:p>
    <w:p w:rsidR="006B2485" w:rsidRPr="00054E92" w:rsidRDefault="006B2485" w:rsidP="006B2485">
      <w:pPr>
        <w:widowControl w:val="0"/>
        <w:autoSpaceDE w:val="0"/>
        <w:autoSpaceDN w:val="0"/>
        <w:adjustRightInd w:val="0"/>
        <w:spacing w:after="0"/>
        <w:rPr>
          <w:rFonts w:cstheme="minorHAnsi"/>
          <w:sz w:val="24"/>
          <w:szCs w:val="24"/>
        </w:rPr>
      </w:pPr>
    </w:p>
    <w:p w:rsidR="006B2485" w:rsidRPr="00054E92" w:rsidRDefault="006B2485" w:rsidP="006B2485">
      <w:pPr>
        <w:pStyle w:val="Default"/>
        <w:rPr>
          <w:rFonts w:asciiTheme="minorHAnsi" w:hAnsiTheme="minorHAnsi" w:cstheme="minorHAnsi"/>
        </w:rPr>
      </w:pPr>
      <w:r w:rsidRPr="00054E92">
        <w:rPr>
          <w:rFonts w:asciiTheme="minorHAnsi" w:hAnsiTheme="minorHAnsi" w:cstheme="minorHAnsi"/>
        </w:rPr>
        <w:t xml:space="preserve">______. 2007. “Overlooked and Undercounted: Wages, Work and Poverty in Washington State” for </w:t>
      </w:r>
      <w:r w:rsidRPr="00054E92">
        <w:rPr>
          <w:rStyle w:val="A0"/>
          <w:rFonts w:asciiTheme="minorHAnsi" w:hAnsiTheme="minorHAnsi" w:cstheme="minorHAnsi"/>
          <w:sz w:val="24"/>
          <w:szCs w:val="24"/>
        </w:rPr>
        <w:t>the</w:t>
      </w:r>
      <w:r w:rsidRPr="00054E92">
        <w:rPr>
          <w:rStyle w:val="A0"/>
          <w:rFonts w:asciiTheme="minorHAnsi" w:hAnsiTheme="minorHAnsi" w:cstheme="minorHAnsi"/>
          <w:b/>
          <w:sz w:val="24"/>
          <w:szCs w:val="24"/>
        </w:rPr>
        <w:t xml:space="preserve"> </w:t>
      </w:r>
      <w:r w:rsidRPr="00054E92">
        <w:rPr>
          <w:rStyle w:val="A1"/>
          <w:rFonts w:asciiTheme="minorHAnsi" w:hAnsiTheme="minorHAnsi" w:cstheme="minorHAnsi"/>
          <w:color w:val="auto"/>
          <w:sz w:val="24"/>
          <w:szCs w:val="24"/>
        </w:rPr>
        <w:t>Harry Bridges Center for Labor Studies, University of Washington</w:t>
      </w:r>
      <w:r w:rsidRPr="00054E92">
        <w:rPr>
          <w:rFonts w:asciiTheme="minorHAnsi" w:hAnsiTheme="minorHAnsi" w:cstheme="minorHAnsi"/>
          <w:b/>
          <w:bCs/>
        </w:rPr>
        <w:t xml:space="preserve"> </w:t>
      </w:r>
      <w:r w:rsidRPr="00054E92">
        <w:rPr>
          <w:rFonts w:asciiTheme="minorHAnsi" w:hAnsiTheme="minorHAnsi" w:cstheme="minorHAnsi"/>
          <w:bCs/>
        </w:rPr>
        <w:t>(</w:t>
      </w:r>
      <w:r w:rsidRPr="00054E92">
        <w:rPr>
          <w:rFonts w:asciiTheme="minorHAnsi" w:hAnsiTheme="minorHAnsi" w:cstheme="minorHAnsi"/>
        </w:rPr>
        <w:t>Center</w:t>
      </w:r>
      <w:r w:rsidRPr="00054E92">
        <w:rPr>
          <w:rFonts w:asciiTheme="minorHAnsi" w:hAnsiTheme="minorHAnsi" w:cstheme="minorHAnsi"/>
          <w:b/>
        </w:rPr>
        <w:t xml:space="preserve"> </w:t>
      </w:r>
      <w:r w:rsidRPr="00054E92">
        <w:rPr>
          <w:rFonts w:asciiTheme="minorHAnsi" w:hAnsiTheme="minorHAnsi" w:cstheme="minorHAnsi"/>
        </w:rPr>
        <w:t xml:space="preserve">for Women’s Welfare, University of Washington, School of Social Work). </w:t>
      </w:r>
    </w:p>
    <w:p w:rsidR="006B2485" w:rsidRPr="00054E92" w:rsidRDefault="002D518B" w:rsidP="006B2485">
      <w:pPr>
        <w:pStyle w:val="Default"/>
        <w:rPr>
          <w:rFonts w:asciiTheme="minorHAnsi" w:hAnsiTheme="minorHAnsi" w:cstheme="minorHAnsi"/>
          <w:bCs/>
        </w:rPr>
      </w:pPr>
      <w:hyperlink r:id="rId16" w:history="1">
        <w:r w:rsidR="006B2485" w:rsidRPr="00054E92">
          <w:rPr>
            <w:rStyle w:val="Hyperlink"/>
            <w:rFonts w:asciiTheme="minorHAnsi" w:hAnsiTheme="minorHAnsi" w:cstheme="minorHAnsi"/>
            <w:bCs/>
          </w:rPr>
          <w:t>http://www.selfsufficiencystandard.org/docs/Washington%20State%20Demographic.pdf</w:t>
        </w:r>
      </w:hyperlink>
    </w:p>
    <w:p w:rsidR="006B2485" w:rsidRPr="00054E92" w:rsidRDefault="006B2485" w:rsidP="006B2485">
      <w:pPr>
        <w:rPr>
          <w:rFonts w:cstheme="minorHAnsi"/>
          <w:sz w:val="24"/>
          <w:szCs w:val="24"/>
        </w:rPr>
      </w:pPr>
    </w:p>
    <w:p w:rsidR="006B2485" w:rsidRPr="00054E92" w:rsidRDefault="006B2485" w:rsidP="006B2485">
      <w:pPr>
        <w:widowControl w:val="0"/>
        <w:autoSpaceDE w:val="0"/>
        <w:autoSpaceDN w:val="0"/>
        <w:adjustRightInd w:val="0"/>
        <w:spacing w:after="0"/>
        <w:rPr>
          <w:rFonts w:cstheme="minorHAnsi"/>
          <w:sz w:val="24"/>
          <w:szCs w:val="24"/>
        </w:rPr>
      </w:pPr>
      <w:r w:rsidRPr="00054E92">
        <w:rPr>
          <w:rFonts w:cstheme="minorHAnsi"/>
          <w:sz w:val="24"/>
          <w:szCs w:val="24"/>
        </w:rPr>
        <w:t>______. 2007. “Overlooked and Undercounted: Where Connecticut Stands “ for the Permanent Commission on the Status of Women, Connecticut General Assembly, (Center for Women’s Welfare, University of Washington, School of Social Work).</w:t>
      </w:r>
    </w:p>
    <w:p w:rsidR="006B2485" w:rsidRPr="00054E92" w:rsidRDefault="002D518B" w:rsidP="006B2485">
      <w:pPr>
        <w:widowControl w:val="0"/>
        <w:autoSpaceDE w:val="0"/>
        <w:autoSpaceDN w:val="0"/>
        <w:adjustRightInd w:val="0"/>
        <w:spacing w:after="0"/>
        <w:rPr>
          <w:rFonts w:cstheme="minorHAnsi"/>
          <w:sz w:val="24"/>
          <w:szCs w:val="24"/>
        </w:rPr>
      </w:pPr>
      <w:hyperlink r:id="rId17" w:history="1">
        <w:r w:rsidR="006B2485" w:rsidRPr="00054E92">
          <w:rPr>
            <w:rStyle w:val="Hyperlink"/>
            <w:rFonts w:cstheme="minorHAnsi"/>
            <w:sz w:val="24"/>
            <w:szCs w:val="24"/>
          </w:rPr>
          <w:t>http://www.selfsufficiencystandard.org/docs/Connecticut%20Demographic.pdf</w:t>
        </w:r>
      </w:hyperlink>
    </w:p>
    <w:p w:rsidR="006B2485" w:rsidRPr="00054E92" w:rsidRDefault="006B2485" w:rsidP="006B2485">
      <w:pPr>
        <w:widowControl w:val="0"/>
        <w:autoSpaceDE w:val="0"/>
        <w:autoSpaceDN w:val="0"/>
        <w:adjustRightInd w:val="0"/>
        <w:spacing w:after="0"/>
        <w:rPr>
          <w:rFonts w:cstheme="minorHAnsi"/>
          <w:sz w:val="24"/>
          <w:szCs w:val="24"/>
        </w:rPr>
      </w:pPr>
    </w:p>
    <w:p w:rsidR="006B2485" w:rsidRPr="00054E92" w:rsidRDefault="006B2485" w:rsidP="006B2485">
      <w:pPr>
        <w:rPr>
          <w:rFonts w:cstheme="minorHAnsi"/>
          <w:sz w:val="24"/>
          <w:szCs w:val="24"/>
        </w:rPr>
      </w:pPr>
      <w:r w:rsidRPr="00054E92">
        <w:rPr>
          <w:rFonts w:cstheme="minorHAnsi"/>
          <w:sz w:val="24"/>
          <w:szCs w:val="24"/>
        </w:rPr>
        <w:t>______. 2008.  “Not Enough to Live On:  Characteristics of Households Below the Real Cost of Living in New Jersey” for Legal Services of New Jersey Poverty Research Institute.</w:t>
      </w:r>
      <w:r w:rsidRPr="00054E92">
        <w:rPr>
          <w:rFonts w:cstheme="minorHAnsi"/>
          <w:bCs/>
          <w:sz w:val="24"/>
          <w:szCs w:val="24"/>
        </w:rPr>
        <w:t xml:space="preserve"> (</w:t>
      </w:r>
      <w:r w:rsidRPr="00054E92">
        <w:rPr>
          <w:rFonts w:cstheme="minorHAnsi"/>
          <w:sz w:val="24"/>
          <w:szCs w:val="24"/>
        </w:rPr>
        <w:t>Center for Women’s Welfare, University Of Washington School of Social Work).</w:t>
      </w:r>
    </w:p>
    <w:p w:rsidR="006B2485" w:rsidRPr="00054E92" w:rsidRDefault="002D518B" w:rsidP="006B2485">
      <w:pPr>
        <w:rPr>
          <w:rFonts w:cstheme="minorHAnsi"/>
          <w:sz w:val="24"/>
          <w:szCs w:val="24"/>
        </w:rPr>
      </w:pPr>
      <w:hyperlink r:id="rId18" w:history="1">
        <w:r w:rsidR="006B2485" w:rsidRPr="00054E92">
          <w:rPr>
            <w:rStyle w:val="Hyperlink"/>
            <w:rFonts w:cstheme="minorHAnsi"/>
            <w:sz w:val="24"/>
            <w:szCs w:val="24"/>
          </w:rPr>
          <w:t>http://selfsufficiencystandard.org/docs/New%20Jersey%20Demographic.pdf</w:t>
        </w:r>
      </w:hyperlink>
      <w:r w:rsidR="006B2485" w:rsidRPr="00054E92">
        <w:rPr>
          <w:rFonts w:cstheme="minorHAnsi"/>
          <w:sz w:val="24"/>
          <w:szCs w:val="24"/>
        </w:rPr>
        <w:t xml:space="preserve"> </w:t>
      </w:r>
    </w:p>
    <w:p w:rsidR="006B2485" w:rsidRPr="00054E92" w:rsidRDefault="006B2485" w:rsidP="006B2485">
      <w:pPr>
        <w:widowControl w:val="0"/>
        <w:autoSpaceDE w:val="0"/>
        <w:autoSpaceDN w:val="0"/>
        <w:adjustRightInd w:val="0"/>
        <w:spacing w:after="0"/>
        <w:rPr>
          <w:rFonts w:cstheme="minorHAnsi"/>
          <w:sz w:val="24"/>
          <w:szCs w:val="24"/>
        </w:rPr>
      </w:pPr>
      <w:r w:rsidRPr="00054E92">
        <w:rPr>
          <w:rFonts w:cstheme="minorHAnsi"/>
          <w:sz w:val="24"/>
          <w:szCs w:val="24"/>
        </w:rPr>
        <w:t xml:space="preserve">______. 2009. “Overlooked and Undercounted: Struggling to Make Ends Meet in Mississippi” for the </w:t>
      </w:r>
      <w:r w:rsidRPr="00054E92">
        <w:rPr>
          <w:rFonts w:cstheme="minorHAnsi"/>
          <w:bCs/>
          <w:sz w:val="24"/>
          <w:szCs w:val="24"/>
        </w:rPr>
        <w:t>Mississippi Economic Policy Center (</w:t>
      </w:r>
      <w:r w:rsidRPr="00054E92">
        <w:rPr>
          <w:rFonts w:cstheme="minorHAnsi"/>
          <w:sz w:val="24"/>
          <w:szCs w:val="24"/>
        </w:rPr>
        <w:t xml:space="preserve">Center for Women’s Welfare, University Of Washington School of Social Work). </w:t>
      </w:r>
    </w:p>
    <w:p w:rsidR="006B2485" w:rsidRPr="00054E92" w:rsidRDefault="002D518B" w:rsidP="006B2485">
      <w:pPr>
        <w:widowControl w:val="0"/>
        <w:autoSpaceDE w:val="0"/>
        <w:autoSpaceDN w:val="0"/>
        <w:adjustRightInd w:val="0"/>
        <w:spacing w:after="0"/>
        <w:rPr>
          <w:rFonts w:cstheme="minorHAnsi"/>
          <w:bCs/>
          <w:sz w:val="24"/>
          <w:szCs w:val="24"/>
        </w:rPr>
      </w:pPr>
      <w:hyperlink r:id="rId19" w:history="1">
        <w:r w:rsidR="006B2485" w:rsidRPr="00054E92">
          <w:rPr>
            <w:rStyle w:val="Hyperlink"/>
            <w:rFonts w:cstheme="minorHAnsi"/>
            <w:bCs/>
            <w:sz w:val="24"/>
            <w:szCs w:val="24"/>
          </w:rPr>
          <w:t>http://www.selfsufficiencystandard.org/docs/Mississippi%20Demographic%202009.pdf</w:t>
        </w:r>
      </w:hyperlink>
    </w:p>
    <w:p w:rsidR="006B2485" w:rsidRPr="00054E92" w:rsidRDefault="006B2485" w:rsidP="006B2485">
      <w:pPr>
        <w:widowControl w:val="0"/>
        <w:autoSpaceDE w:val="0"/>
        <w:autoSpaceDN w:val="0"/>
        <w:adjustRightInd w:val="0"/>
        <w:spacing w:after="0"/>
        <w:rPr>
          <w:rFonts w:cstheme="minorHAnsi"/>
          <w:bCs/>
          <w:sz w:val="24"/>
          <w:szCs w:val="24"/>
        </w:rPr>
      </w:pPr>
    </w:p>
    <w:p w:rsidR="006B2485" w:rsidRPr="00054E92" w:rsidRDefault="006B2485" w:rsidP="006B2485">
      <w:pPr>
        <w:widowControl w:val="0"/>
        <w:autoSpaceDE w:val="0"/>
        <w:autoSpaceDN w:val="0"/>
        <w:adjustRightInd w:val="0"/>
        <w:spacing w:after="0"/>
        <w:rPr>
          <w:rFonts w:cstheme="minorHAnsi"/>
          <w:sz w:val="24"/>
          <w:szCs w:val="24"/>
        </w:rPr>
      </w:pPr>
      <w:r w:rsidRPr="00054E92">
        <w:rPr>
          <w:rFonts w:cstheme="minorHAnsi"/>
          <w:sz w:val="24"/>
          <w:szCs w:val="24"/>
        </w:rPr>
        <w:t>______.2009. “Overlooked and Undercounted: Struggling to Make Ends Meet in Pennsylvania” for Pathways PA, Homes, PA</w:t>
      </w:r>
      <w:r w:rsidRPr="00054E92">
        <w:rPr>
          <w:rFonts w:cstheme="minorHAnsi"/>
          <w:bCs/>
          <w:sz w:val="24"/>
          <w:szCs w:val="24"/>
        </w:rPr>
        <w:t xml:space="preserve"> (</w:t>
      </w:r>
      <w:r w:rsidRPr="00054E92">
        <w:rPr>
          <w:rFonts w:cstheme="minorHAnsi"/>
          <w:sz w:val="24"/>
          <w:szCs w:val="24"/>
        </w:rPr>
        <w:t xml:space="preserve">Center for Women’s Welfare, University of Washington School of Social Work). </w:t>
      </w:r>
    </w:p>
    <w:p w:rsidR="006B2485" w:rsidRPr="00054E92" w:rsidRDefault="002D518B" w:rsidP="006B2485">
      <w:pPr>
        <w:widowControl w:val="0"/>
        <w:autoSpaceDE w:val="0"/>
        <w:autoSpaceDN w:val="0"/>
        <w:adjustRightInd w:val="0"/>
        <w:spacing w:after="0"/>
        <w:rPr>
          <w:rFonts w:cstheme="minorHAnsi"/>
          <w:bCs/>
          <w:sz w:val="24"/>
          <w:szCs w:val="24"/>
        </w:rPr>
      </w:pPr>
      <w:hyperlink r:id="rId20" w:history="1">
        <w:r w:rsidR="006B2485" w:rsidRPr="00054E92">
          <w:rPr>
            <w:rStyle w:val="Hyperlink"/>
            <w:rFonts w:cstheme="minorHAnsi"/>
            <w:bCs/>
            <w:sz w:val="24"/>
            <w:szCs w:val="24"/>
          </w:rPr>
          <w:t>http://www.pathwayspa.org/PW_Over_Under_lo_res.pdf</w:t>
        </w:r>
      </w:hyperlink>
    </w:p>
    <w:p w:rsidR="006B2485" w:rsidRPr="00054E92" w:rsidRDefault="006B2485" w:rsidP="006B2485">
      <w:pPr>
        <w:widowControl w:val="0"/>
        <w:autoSpaceDE w:val="0"/>
        <w:autoSpaceDN w:val="0"/>
        <w:adjustRightInd w:val="0"/>
        <w:spacing w:after="0"/>
        <w:rPr>
          <w:rFonts w:cstheme="minorHAnsi"/>
          <w:bCs/>
          <w:sz w:val="24"/>
          <w:szCs w:val="24"/>
        </w:rPr>
      </w:pPr>
    </w:p>
    <w:p w:rsidR="006B2485" w:rsidRPr="00054E92" w:rsidRDefault="006B2485" w:rsidP="006B2485">
      <w:pPr>
        <w:widowControl w:val="0"/>
        <w:autoSpaceDE w:val="0"/>
        <w:autoSpaceDN w:val="0"/>
        <w:adjustRightInd w:val="0"/>
        <w:spacing w:after="0"/>
        <w:rPr>
          <w:rFonts w:cstheme="minorHAnsi"/>
          <w:sz w:val="24"/>
          <w:szCs w:val="24"/>
        </w:rPr>
      </w:pPr>
      <w:r w:rsidRPr="00054E92">
        <w:rPr>
          <w:rFonts w:cstheme="minorHAnsi"/>
          <w:sz w:val="24"/>
          <w:szCs w:val="24"/>
        </w:rPr>
        <w:t>______.2009. “Overlooked and Undercounted 2009: Struggling to Make Ends Meet in California” for United Way of the Bay Area, (Center for Women’s Welfare, University of Washington School of Social Work).</w:t>
      </w:r>
    </w:p>
    <w:p w:rsidR="006B2485" w:rsidRPr="00054E92" w:rsidRDefault="002D518B" w:rsidP="006B2485">
      <w:pPr>
        <w:rPr>
          <w:rFonts w:cstheme="minorHAnsi"/>
          <w:sz w:val="24"/>
          <w:szCs w:val="24"/>
        </w:rPr>
      </w:pPr>
      <w:hyperlink r:id="rId21" w:history="1">
        <w:r w:rsidR="006B2485" w:rsidRPr="00054E92">
          <w:rPr>
            <w:rStyle w:val="Hyperlink"/>
            <w:rFonts w:cstheme="minorHAnsi"/>
            <w:sz w:val="24"/>
            <w:szCs w:val="24"/>
          </w:rPr>
          <w:t>http://www.selfsufficiencystandard.org/docs/CA%20Overlooked%20%20Undercounted%202009.pdf</w:t>
        </w:r>
      </w:hyperlink>
    </w:p>
    <w:p w:rsidR="00C43696" w:rsidRPr="00054E92" w:rsidRDefault="006B2485" w:rsidP="00932F0C">
      <w:pPr>
        <w:pStyle w:val="03c-endnoteTextStyles"/>
        <w:rPr>
          <w:rFonts w:asciiTheme="minorHAnsi" w:hAnsiTheme="minorHAnsi" w:cstheme="minorHAnsi"/>
          <w:sz w:val="24"/>
          <w:szCs w:val="24"/>
          <w:vertAlign w:val="baseline"/>
        </w:rPr>
      </w:pPr>
      <w:r w:rsidRPr="00054E92">
        <w:rPr>
          <w:rFonts w:asciiTheme="minorHAnsi" w:hAnsiTheme="minorHAnsi" w:cstheme="minorHAnsi"/>
          <w:sz w:val="24"/>
          <w:szCs w:val="24"/>
        </w:rPr>
        <w:t>______.</w:t>
      </w:r>
      <w:r w:rsidR="00C43696" w:rsidRPr="00054E92">
        <w:rPr>
          <w:rFonts w:asciiTheme="minorHAnsi" w:hAnsiTheme="minorHAnsi" w:cstheme="minorHAnsi"/>
          <w:sz w:val="24"/>
          <w:szCs w:val="24"/>
          <w:vertAlign w:val="baseline"/>
        </w:rPr>
        <w:t xml:space="preserve">. 2011. </w:t>
      </w:r>
      <w:r w:rsidR="00C43696" w:rsidRPr="00054E92">
        <w:rPr>
          <w:rFonts w:asciiTheme="minorHAnsi" w:hAnsiTheme="minorHAnsi" w:cstheme="minorHAnsi"/>
          <w:i/>
          <w:sz w:val="24"/>
          <w:szCs w:val="24"/>
          <w:vertAlign w:val="baseline"/>
        </w:rPr>
        <w:t>The Self-Sufficiency Standard for Washington State 2011</w:t>
      </w:r>
      <w:r w:rsidR="00C43696" w:rsidRPr="00054E92">
        <w:rPr>
          <w:rFonts w:asciiTheme="minorHAnsi" w:hAnsiTheme="minorHAnsi" w:cstheme="minorHAnsi"/>
          <w:sz w:val="24"/>
          <w:szCs w:val="24"/>
          <w:vertAlign w:val="baseline"/>
        </w:rPr>
        <w:t>.  Seattle, WA:  University of Washington.</w:t>
      </w:r>
    </w:p>
    <w:p w:rsidR="00761256" w:rsidRPr="00054E92" w:rsidRDefault="00761256" w:rsidP="00932F0C">
      <w:pPr>
        <w:pStyle w:val="03c-endnoteTextStyles"/>
        <w:rPr>
          <w:rFonts w:asciiTheme="minorHAnsi" w:hAnsiTheme="minorHAnsi" w:cstheme="minorHAnsi"/>
          <w:sz w:val="24"/>
          <w:szCs w:val="24"/>
          <w:vertAlign w:val="baseline"/>
        </w:rPr>
      </w:pPr>
      <w:r w:rsidRPr="00054E92">
        <w:rPr>
          <w:rFonts w:asciiTheme="minorHAnsi" w:hAnsiTheme="minorHAnsi" w:cstheme="minorHAnsi"/>
          <w:sz w:val="24"/>
          <w:szCs w:val="24"/>
          <w:vertAlign w:val="baseline"/>
        </w:rPr>
        <w:t xml:space="preserve">Renwick, T. 1998. “Basic Needs Budgets Revisited:  Does the U.S. Consumer Price Index Overestimate the Changes in the Cost of Living for Low-Income Families?”.  </w:t>
      </w:r>
      <w:r w:rsidRPr="00054E92">
        <w:rPr>
          <w:rFonts w:asciiTheme="minorHAnsi" w:hAnsiTheme="minorHAnsi" w:cstheme="minorHAnsi"/>
          <w:i/>
          <w:sz w:val="24"/>
          <w:szCs w:val="24"/>
          <w:vertAlign w:val="baseline"/>
        </w:rPr>
        <w:t xml:space="preserve">Feminist Economics </w:t>
      </w:r>
      <w:r w:rsidRPr="00054E92">
        <w:rPr>
          <w:rFonts w:asciiTheme="minorHAnsi" w:hAnsiTheme="minorHAnsi" w:cstheme="minorHAnsi"/>
          <w:sz w:val="24"/>
          <w:szCs w:val="24"/>
          <w:vertAlign w:val="baseline"/>
        </w:rPr>
        <w:t>4(3), p. 129-142.</w:t>
      </w:r>
    </w:p>
    <w:p w:rsidR="00932F0C" w:rsidRPr="00054E92" w:rsidRDefault="00932F0C" w:rsidP="00932F0C">
      <w:pPr>
        <w:pStyle w:val="03c-endnoteTextStyles"/>
        <w:rPr>
          <w:rFonts w:asciiTheme="minorHAnsi" w:hAnsiTheme="minorHAnsi" w:cstheme="minorHAnsi"/>
          <w:sz w:val="24"/>
          <w:szCs w:val="24"/>
          <w:vertAlign w:val="baseline"/>
        </w:rPr>
      </w:pPr>
      <w:r w:rsidRPr="00054E92">
        <w:rPr>
          <w:rFonts w:asciiTheme="minorHAnsi" w:hAnsiTheme="minorHAnsi" w:cstheme="minorHAnsi"/>
          <w:sz w:val="24"/>
          <w:szCs w:val="24"/>
          <w:vertAlign w:val="baseline"/>
        </w:rPr>
        <w:t xml:space="preserve">Ruggles, P. (1990). </w:t>
      </w:r>
      <w:r w:rsidRPr="00054E92">
        <w:rPr>
          <w:rFonts w:asciiTheme="minorHAnsi" w:hAnsiTheme="minorHAnsi" w:cstheme="minorHAnsi"/>
          <w:i/>
          <w:iCs/>
          <w:sz w:val="24"/>
          <w:szCs w:val="24"/>
          <w:vertAlign w:val="baseline"/>
        </w:rPr>
        <w:t>Drawing the line: Alternative poverty measures and their implications for public policy</w:t>
      </w:r>
      <w:r w:rsidRPr="00054E92">
        <w:rPr>
          <w:rFonts w:asciiTheme="minorHAnsi" w:hAnsiTheme="minorHAnsi" w:cstheme="minorHAnsi"/>
          <w:sz w:val="24"/>
          <w:szCs w:val="24"/>
          <w:vertAlign w:val="baseline"/>
        </w:rPr>
        <w:t xml:space="preserve">. The Urban Institute, Washington, D.C. </w:t>
      </w:r>
    </w:p>
    <w:p w:rsidR="00975862" w:rsidRPr="00054E92" w:rsidRDefault="00975862" w:rsidP="00932F0C">
      <w:pPr>
        <w:pStyle w:val="03c-endnoteTextStyles"/>
        <w:rPr>
          <w:rFonts w:asciiTheme="minorHAnsi" w:hAnsiTheme="minorHAnsi" w:cstheme="minorHAnsi"/>
          <w:sz w:val="24"/>
          <w:szCs w:val="24"/>
          <w:vertAlign w:val="baseline"/>
        </w:rPr>
      </w:pPr>
      <w:r w:rsidRPr="00054E92">
        <w:rPr>
          <w:rFonts w:asciiTheme="minorHAnsi" w:hAnsiTheme="minorHAnsi" w:cstheme="minorHAnsi"/>
          <w:sz w:val="24"/>
          <w:szCs w:val="24"/>
          <w:vertAlign w:val="baseline"/>
        </w:rPr>
        <w:t>Urban Institute.  2005.  “Low-Income Working Families: Facts and Figures: Assessing the New Federalism.”</w:t>
      </w:r>
    </w:p>
    <w:p w:rsidR="009E1416" w:rsidRPr="00054E92" w:rsidRDefault="000C0302" w:rsidP="00C7159E">
      <w:pPr>
        <w:rPr>
          <w:rFonts w:cstheme="minorHAnsi"/>
          <w:sz w:val="24"/>
          <w:szCs w:val="24"/>
        </w:rPr>
      </w:pPr>
      <w:r w:rsidRPr="00054E92">
        <w:rPr>
          <w:rFonts w:cstheme="minorHAnsi"/>
          <w:sz w:val="24"/>
          <w:szCs w:val="24"/>
        </w:rPr>
        <w:t>U.S. Conference of Mayors. 200</w:t>
      </w:r>
      <w:r w:rsidR="003A33D1" w:rsidRPr="00054E92">
        <w:rPr>
          <w:rFonts w:cstheme="minorHAnsi"/>
          <w:sz w:val="24"/>
          <w:szCs w:val="24"/>
        </w:rPr>
        <w:t>9</w:t>
      </w:r>
      <w:r w:rsidRPr="00054E92">
        <w:rPr>
          <w:rFonts w:cstheme="minorHAnsi"/>
          <w:sz w:val="24"/>
          <w:szCs w:val="24"/>
        </w:rPr>
        <w:t xml:space="preserve">. </w:t>
      </w:r>
      <w:r w:rsidR="003A33D1" w:rsidRPr="00054E92">
        <w:rPr>
          <w:rFonts w:cstheme="minorHAnsi"/>
          <w:sz w:val="24"/>
          <w:szCs w:val="24"/>
        </w:rPr>
        <w:t>“Revising the Federal Poverty Measure” [Resolution</w:t>
      </w:r>
      <w:r w:rsidR="00163DE2" w:rsidRPr="00054E92">
        <w:rPr>
          <w:rFonts w:cstheme="minorHAnsi"/>
          <w:sz w:val="24"/>
          <w:szCs w:val="24"/>
        </w:rPr>
        <w:t>] Providence, R.I.  June.</w:t>
      </w:r>
    </w:p>
    <w:p w:rsidR="009E1416" w:rsidRPr="00054E92" w:rsidRDefault="00C7159E" w:rsidP="00A07204">
      <w:pPr>
        <w:rPr>
          <w:rFonts w:cstheme="minorHAnsi"/>
          <w:sz w:val="24"/>
          <w:szCs w:val="24"/>
        </w:rPr>
      </w:pPr>
      <w:r w:rsidRPr="00054E92">
        <w:rPr>
          <w:rFonts w:cstheme="minorHAnsi"/>
          <w:sz w:val="24"/>
          <w:szCs w:val="24"/>
        </w:rPr>
        <w:t xml:space="preserve">U.S. Census Bureau, “Supplemental Poverty Measure Overview,” Poverty-Experimental Measures, </w:t>
      </w:r>
      <w:hyperlink r:id="rId22" w:history="1">
        <w:r w:rsidRPr="00054E92">
          <w:rPr>
            <w:rStyle w:val="Hyperlink"/>
            <w:rFonts w:cstheme="minorHAnsi"/>
            <w:sz w:val="24"/>
            <w:szCs w:val="24"/>
          </w:rPr>
          <w:t>http://www.census.gov/hhes/povmeas/methodology/supplemental/overview.html</w:t>
        </w:r>
      </w:hyperlink>
      <w:r w:rsidRPr="00054E92">
        <w:rPr>
          <w:rFonts w:cstheme="minorHAnsi"/>
          <w:sz w:val="24"/>
          <w:szCs w:val="24"/>
        </w:rPr>
        <w:t xml:space="preserve"> (accessed October 21, 2011).</w:t>
      </w:r>
    </w:p>
    <w:sectPr w:rsidR="009E1416" w:rsidRPr="00054E92" w:rsidSect="0038569A">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8B" w:rsidRDefault="002D518B" w:rsidP="0044715C">
      <w:pPr>
        <w:spacing w:after="0" w:line="240" w:lineRule="auto"/>
      </w:pPr>
      <w:r>
        <w:separator/>
      </w:r>
    </w:p>
  </w:endnote>
  <w:endnote w:type="continuationSeparator" w:id="0">
    <w:p w:rsidR="002D518B" w:rsidRDefault="002D518B" w:rsidP="00447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C9" w:rsidRDefault="00DD71C9" w:rsidP="00990F3C">
    <w:pPr>
      <w:pStyle w:val="Footer"/>
      <w:jc w:val="center"/>
      <w:rPr>
        <w:rFonts w:ascii="Wingdings" w:hAnsi="Wingdings"/>
        <w:i/>
        <w:sz w:val="18"/>
        <w:szCs w:val="18"/>
      </w:rPr>
    </w:pPr>
  </w:p>
  <w:p w:rsidR="0038569A" w:rsidRDefault="0038569A" w:rsidP="00990F3C">
    <w:pPr>
      <w:pStyle w:val="Footer"/>
      <w:jc w:val="center"/>
      <w:rPr>
        <w:rFonts w:ascii="Wingdings" w:hAnsi="Wingdings"/>
        <w:i/>
        <w:sz w:val="18"/>
        <w:szCs w:val="18"/>
      </w:rPr>
    </w:pPr>
    <w:r w:rsidRPr="00990F3C">
      <w:rPr>
        <w:rFonts w:ascii="Wingdings" w:hAnsi="Wingdings"/>
        <w:i/>
        <w:sz w:val="18"/>
        <w:szCs w:val="18"/>
      </w:rPr>
      <w:t></w:t>
    </w:r>
    <w:r w:rsidRPr="00990F3C">
      <w:rPr>
        <w:i/>
        <w:sz w:val="18"/>
        <w:szCs w:val="18"/>
      </w:rPr>
      <w:t xml:space="preserve">  Pearce </w:t>
    </w:r>
    <w:r w:rsidRPr="00990F3C">
      <w:rPr>
        <w:rFonts w:ascii="Wingdings" w:hAnsi="Wingdings"/>
        <w:i/>
        <w:sz w:val="18"/>
        <w:szCs w:val="18"/>
      </w:rPr>
      <w:t></w:t>
    </w:r>
    <w:r w:rsidRPr="00990F3C">
      <w:rPr>
        <w:i/>
        <w:sz w:val="18"/>
        <w:szCs w:val="18"/>
      </w:rPr>
      <w:t xml:space="preserve"> Poverty Measures and Program Provision: Solving the Thresholds Problem </w:t>
    </w:r>
    <w:r w:rsidRPr="00990F3C">
      <w:rPr>
        <w:rFonts w:ascii="Wingdings" w:hAnsi="Wingdings"/>
        <w:i/>
        <w:sz w:val="18"/>
        <w:szCs w:val="18"/>
      </w:rPr>
      <w:t></w:t>
    </w:r>
    <w:r w:rsidRPr="00990F3C">
      <w:rPr>
        <w:rFonts w:ascii="Wingdings" w:hAnsi="Wingdings"/>
        <w:i/>
        <w:sz w:val="18"/>
        <w:szCs w:val="18"/>
      </w:rPr>
      <w:t></w:t>
    </w:r>
  </w:p>
  <w:p w:rsidR="0038569A" w:rsidRPr="00990F3C" w:rsidRDefault="0038569A" w:rsidP="00990F3C">
    <w:pPr>
      <w:pStyle w:val="Footer"/>
      <w:jc w:val="center"/>
      <w:rPr>
        <w:i/>
        <w:sz w:val="18"/>
        <w:szCs w:val="18"/>
      </w:rPr>
    </w:pPr>
    <w:r>
      <w:rPr>
        <w:rFonts w:cstheme="minorHAnsi"/>
        <w:i/>
        <w:sz w:val="18"/>
        <w:szCs w:val="18"/>
      </w:rPr>
      <w:t xml:space="preserve"> </w:t>
    </w:r>
    <w:r w:rsidRPr="00990F3C">
      <w:rPr>
        <w:rFonts w:ascii="Wingdings" w:hAnsi="Wingdings"/>
        <w:i/>
        <w:sz w:val="18"/>
        <w:szCs w:val="18"/>
      </w:rPr>
      <w:t></w:t>
    </w:r>
    <w:r>
      <w:rPr>
        <w:rFonts w:cstheme="minorHAnsi"/>
        <w:i/>
        <w:sz w:val="18"/>
        <w:szCs w:val="18"/>
      </w:rPr>
      <w:t xml:space="preserve"> A</w:t>
    </w:r>
    <w:r w:rsidRPr="00990F3C">
      <w:rPr>
        <w:rFonts w:cstheme="minorHAnsi"/>
        <w:i/>
        <w:sz w:val="18"/>
        <w:szCs w:val="18"/>
      </w:rPr>
      <w:t>PPAM Annual Conference, Washington, DC</w:t>
    </w:r>
    <w:r>
      <w:rPr>
        <w:rFonts w:cstheme="minorHAnsi"/>
        <w:i/>
        <w:sz w:val="18"/>
        <w:szCs w:val="18"/>
      </w:rPr>
      <w:t xml:space="preserve"> </w:t>
    </w:r>
    <w:r w:rsidRPr="00990F3C">
      <w:rPr>
        <w:rFonts w:ascii="Wingdings" w:hAnsi="Wingdings"/>
        <w:i/>
        <w:sz w:val="18"/>
        <w:szCs w:val="18"/>
      </w:rPr>
      <w:t></w:t>
    </w:r>
    <w:r>
      <w:rPr>
        <w:rFonts w:cstheme="minorHAnsi"/>
        <w:i/>
        <w:sz w:val="18"/>
        <w:szCs w:val="18"/>
      </w:rPr>
      <w:t xml:space="preserve"> N</w:t>
    </w:r>
    <w:r w:rsidRPr="00990F3C">
      <w:rPr>
        <w:rFonts w:cstheme="minorHAnsi"/>
        <w:i/>
        <w:sz w:val="18"/>
        <w:szCs w:val="18"/>
      </w:rPr>
      <w:t>ovember 2011</w:t>
    </w:r>
    <w:r w:rsidRPr="00990F3C">
      <w:rPr>
        <w:rFonts w:ascii="Wingdings" w:hAnsi="Wingdings"/>
        <w: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8B" w:rsidRDefault="002D518B" w:rsidP="0044715C">
      <w:pPr>
        <w:spacing w:after="0" w:line="240" w:lineRule="auto"/>
      </w:pPr>
      <w:r>
        <w:separator/>
      </w:r>
    </w:p>
  </w:footnote>
  <w:footnote w:type="continuationSeparator" w:id="0">
    <w:p w:rsidR="002D518B" w:rsidRDefault="002D518B" w:rsidP="0044715C">
      <w:pPr>
        <w:spacing w:after="0" w:line="240" w:lineRule="auto"/>
      </w:pPr>
      <w:r>
        <w:continuationSeparator/>
      </w:r>
    </w:p>
  </w:footnote>
  <w:footnote w:id="1">
    <w:p w:rsidR="0038569A" w:rsidRDefault="0038569A">
      <w:pPr>
        <w:pStyle w:val="FootnoteText"/>
      </w:pPr>
      <w:r>
        <w:rPr>
          <w:rStyle w:val="FootnoteReference"/>
        </w:rPr>
        <w:footnoteRef/>
      </w:r>
      <w:r>
        <w:t xml:space="preserve"> </w:t>
      </w:r>
      <w:r w:rsidRPr="00182030">
        <w:rPr>
          <w:rFonts w:cstheme="minorHAnsi"/>
        </w:rPr>
        <w:t xml:space="preserve">If the </w:t>
      </w:r>
      <w:r w:rsidRPr="00182030">
        <w:rPr>
          <w:rFonts w:cstheme="minorHAnsi"/>
          <w:i/>
        </w:rPr>
        <w:t>level</w:t>
      </w:r>
      <w:r w:rsidRPr="00182030">
        <w:rPr>
          <w:rFonts w:cstheme="minorHAnsi"/>
        </w:rPr>
        <w:t xml:space="preserve"> changed substantially using the SPM, then comparing analyses of poverty with the new (SPM) and old (FPL) measures would be confounded by the two sets of changes (how it is measured, plus the level changes).  In effect it would be comparing “apples and oranges”, and it would not be clear as to how the new poverty measure changed our understanding of who is poor (and why).</w:t>
      </w:r>
      <w:r>
        <w:rPr>
          <w:rFonts w:cstheme="minorHAnsi"/>
          <w:sz w:val="24"/>
          <w:szCs w:val="24"/>
        </w:rPr>
        <w:t xml:space="preserve">  </w:t>
      </w:r>
    </w:p>
  </w:footnote>
  <w:footnote w:id="2">
    <w:p w:rsidR="0038569A" w:rsidRDefault="0038569A">
      <w:pPr>
        <w:pStyle w:val="FootnoteText"/>
      </w:pPr>
      <w:r>
        <w:rPr>
          <w:rStyle w:val="FootnoteReference"/>
        </w:rPr>
        <w:footnoteRef/>
      </w:r>
      <w:r>
        <w:t xml:space="preserve"> Funded by </w:t>
      </w:r>
      <w:r>
        <w:rPr>
          <w:rFonts w:cstheme="minorHAnsi"/>
          <w:sz w:val="24"/>
          <w:szCs w:val="24"/>
        </w:rPr>
        <w:t xml:space="preserve">  Casey, Charles Steward Mott, Joyce, and Ford</w:t>
      </w:r>
      <w:r w:rsidRPr="00742536">
        <w:t xml:space="preserve"> </w:t>
      </w:r>
      <w:r>
        <w:t xml:space="preserve">foundations, see </w:t>
      </w:r>
      <w:hyperlink r:id="rId1" w:history="1">
        <w:r w:rsidRPr="008D7125">
          <w:rPr>
            <w:rStyle w:val="Hyperlink"/>
          </w:rPr>
          <w:t>http://www.workingpoorfamilies.org/about.html</w:t>
        </w:r>
      </w:hyperlink>
      <w:r>
        <w:t>.  For description of indicators used, see</w:t>
      </w:r>
      <w:r w:rsidRPr="00742536">
        <w:t xml:space="preserve"> </w:t>
      </w:r>
      <w:hyperlink r:id="rId2" w:history="1">
        <w:r w:rsidRPr="008D7125">
          <w:rPr>
            <w:rStyle w:val="Hyperlink"/>
          </w:rPr>
          <w:t>http://www.workingpoorfamilies.org/pdfs/Framework_of_Indicators.pdf</w:t>
        </w:r>
      </w:hyperlink>
      <w:r>
        <w:t xml:space="preserve"> </w:t>
      </w:r>
    </w:p>
  </w:footnote>
  <w:footnote w:id="3">
    <w:p w:rsidR="0038569A" w:rsidRDefault="0038569A" w:rsidP="00932F0C">
      <w:pPr>
        <w:pStyle w:val="Body-endnoteTextStyles"/>
      </w:pPr>
      <w:r>
        <w:rPr>
          <w:rStyle w:val="FootnoteReference"/>
        </w:rPr>
        <w:footnoteRef/>
      </w:r>
      <w:r>
        <w:t xml:space="preserve"> Although these income limits are based on 80%, 50%, and 30% of the median income, the final income limit benchmarks are calculated after various adjustments are accounted for, such as high or low housing cost adjustments. Therefore the final income limits are not necessarily an exact percent of the original median income. Most housing assistance is limited to the “Very Low Income” category, and in some instances to the “Extremely Low Income” category. U.S. Department of Housing and Urban Development, “FY 2011 Income Limits Summary, Snohomish County,” FY 2011 Income Limits Documentation System, http://www.huduser.org (accessed June 1, 2011).</w:t>
      </w:r>
    </w:p>
    <w:p w:rsidR="0038569A" w:rsidRDefault="0038569A">
      <w:pPr>
        <w:pStyle w:val="FootnoteText"/>
      </w:pPr>
    </w:p>
  </w:footnote>
  <w:footnote w:id="4">
    <w:p w:rsidR="0038569A" w:rsidRPr="008F12F3" w:rsidRDefault="0038569A">
      <w:pPr>
        <w:pStyle w:val="FootnoteText"/>
      </w:pPr>
      <w:r>
        <w:rPr>
          <w:rStyle w:val="FootnoteReference"/>
        </w:rPr>
        <w:footnoteRef/>
      </w:r>
      <w:r>
        <w:t xml:space="preserve"> </w:t>
      </w:r>
      <w:r w:rsidRPr="008F12F3">
        <w:rPr>
          <w:rFonts w:cstheme="minorHAnsi"/>
        </w:rPr>
        <w:t>At the time, these programs were set up under the JTPA – Job Training Partnership Act, with local agencies called Service Delivery Areas; it has now been replaced by the Workforce Investment Act, with local entities usually called Workforce councils or WIA boards/councils.</w:t>
      </w:r>
    </w:p>
  </w:footnote>
  <w:footnote w:id="5">
    <w:p w:rsidR="0038569A" w:rsidRPr="0075344B" w:rsidRDefault="0038569A">
      <w:pPr>
        <w:pStyle w:val="FootnoteText"/>
      </w:pPr>
      <w:r>
        <w:rPr>
          <w:rStyle w:val="FootnoteReference"/>
        </w:rPr>
        <w:footnoteRef/>
      </w:r>
      <w:r>
        <w:t xml:space="preserve"> </w:t>
      </w:r>
      <w:r w:rsidRPr="0075344B">
        <w:rPr>
          <w:rFonts w:cstheme="minorHAnsi"/>
        </w:rPr>
        <w:t xml:space="preserve">Analysis of the data found that using an “average” underserved women and people of color, as it averaged together the higher wages of men (often single) with the lower wages of women clients (who were often single parents) as well as the lower wages of Hispanics and African Americans, both men and women.  That is, while in reality to be “self-sufficient” required higher wages for those who had families to support, this was ignored by averaging all wages together.   Moreover, </w:t>
      </w:r>
      <w:r w:rsidRPr="0075344B">
        <w:t>In response to pressures coming from welfare reform, as well as women’s and civil rights groups, JTPA was broadening its reach to more women and/or people of color.  But because of the lower wages of these groups in the market, the formulas determining the local performance standard wage took into account the proportions of clients serve</w:t>
      </w:r>
      <w:r>
        <w:t xml:space="preserve">d who were women or minorities.  This resulted in </w:t>
      </w:r>
      <w:r w:rsidRPr="0075344B">
        <w:t xml:space="preserve"> </w:t>
      </w:r>
      <w:r>
        <w:t>lowering the overall threshold</w:t>
      </w:r>
      <w:r w:rsidRPr="0075344B">
        <w:rPr>
          <w:rFonts w:cstheme="minorHAnsi"/>
        </w:rPr>
        <w:t xml:space="preserve"> </w:t>
      </w:r>
      <w:r>
        <w:rPr>
          <w:rFonts w:cstheme="minorHAnsi"/>
        </w:rPr>
        <w:t xml:space="preserve">(performance measure) </w:t>
      </w:r>
      <w:r w:rsidRPr="0075344B">
        <w:rPr>
          <w:rFonts w:cstheme="minorHAnsi"/>
        </w:rPr>
        <w:t>if the local service area served mor</w:t>
      </w:r>
      <w:r>
        <w:rPr>
          <w:rFonts w:cstheme="minorHAnsi"/>
        </w:rPr>
        <w:t xml:space="preserve">e women and/or people of color, thus </w:t>
      </w:r>
      <w:r w:rsidRPr="0075344B">
        <w:rPr>
          <w:rFonts w:cstheme="minorHAnsi"/>
        </w:rPr>
        <w:t>reflecting rather than addressing the lower wages received b</w:t>
      </w:r>
      <w:r>
        <w:rPr>
          <w:rFonts w:cstheme="minorHAnsi"/>
        </w:rPr>
        <w:t>y women and/or people of color.</w:t>
      </w:r>
    </w:p>
  </w:footnote>
  <w:footnote w:id="6">
    <w:p w:rsidR="0038569A" w:rsidRPr="006F7BB4" w:rsidRDefault="0038569A" w:rsidP="006F7BB4">
      <w:pPr>
        <w:rPr>
          <w:rFonts w:cstheme="minorHAnsi"/>
          <w:sz w:val="20"/>
          <w:szCs w:val="20"/>
        </w:rPr>
      </w:pPr>
      <w:r>
        <w:rPr>
          <w:rStyle w:val="FootnoteReference"/>
        </w:rPr>
        <w:footnoteRef/>
      </w:r>
      <w:r>
        <w:t xml:space="preserve"> </w:t>
      </w:r>
      <w:r w:rsidRPr="008770D6">
        <w:rPr>
          <w:rFonts w:cstheme="minorHAnsi"/>
          <w:sz w:val="20"/>
          <w:szCs w:val="20"/>
        </w:rPr>
        <w:t xml:space="preserve">The effort was funded by Ford, and coordinated by Wider Opportunities for Women, but all the Standards, calculations, and reports were done by the Center for Women’s Welfare at the University of Washington.  In the end, welfare reauthorization did not happen until 2005, there were no real hearings held, and it was in essence a “non-event”.  </w:t>
      </w:r>
    </w:p>
  </w:footnote>
  <w:footnote w:id="7">
    <w:p w:rsidR="0038569A" w:rsidRDefault="0038569A">
      <w:pPr>
        <w:pStyle w:val="FootnoteText"/>
      </w:pPr>
      <w:r>
        <w:rPr>
          <w:rStyle w:val="FootnoteReference"/>
        </w:rPr>
        <w:footnoteRef/>
      </w:r>
      <w:r>
        <w:t xml:space="preserve"> For Washington State, see </w:t>
      </w:r>
      <w:hyperlink r:id="rId3" w:history="1">
        <w:r w:rsidRPr="008D7125">
          <w:rPr>
            <w:rStyle w:val="Hyperlink"/>
          </w:rPr>
          <w:t>www.thecalculator.org</w:t>
        </w:r>
      </w:hyperlink>
      <w:r>
        <w:t xml:space="preserve">. For New York City, go to </w:t>
      </w:r>
      <w:hyperlink r:id="rId4" w:history="1">
        <w:r w:rsidRPr="008D7125">
          <w:rPr>
            <w:rStyle w:val="Hyperlink"/>
          </w:rPr>
          <w:t>www.wceca.org</w:t>
        </w:r>
      </w:hyperlink>
      <w:r>
        <w:t xml:space="preserve">; for Colorado, see </w:t>
      </w:r>
      <w:hyperlink r:id="rId5" w:history="1">
        <w:r w:rsidRPr="008D7125">
          <w:rPr>
            <w:rStyle w:val="Hyperlink"/>
          </w:rPr>
          <w:t>http://www.coloradoselfsufficiencystandardcalculator.org/ColoradoCalculator/Home.aspx; for</w:t>
        </w:r>
      </w:hyperlink>
      <w:r>
        <w:t xml:space="preserve"> Oregon, go to </w:t>
      </w:r>
      <w:hyperlink r:id="rId6" w:history="1">
        <w:r w:rsidRPr="008D7125">
          <w:rPr>
            <w:rStyle w:val="Hyperlink"/>
          </w:rPr>
          <w:t>https://www2.prosperityplanner.org/</w:t>
        </w:r>
      </w:hyperlink>
      <w:r>
        <w:t xml:space="preserve">; for Pennsylvania, </w:t>
      </w:r>
      <w:hyperlink r:id="rId7" w:history="1">
        <w:r w:rsidRPr="008D7125">
          <w:rPr>
            <w:rStyle w:val="Hyperlink"/>
          </w:rPr>
          <w:t>http://eqldata.com/db/gsddLHY2/OTBET/flash?save-on-close=SavedInfo&amp;winwm=1</w:t>
        </w:r>
      </w:hyperlink>
      <w:r>
        <w:t xml:space="preserve">,  and for California, go to </w:t>
      </w:r>
      <w:hyperlink r:id="rId8" w:tgtFrame="_blank" w:history="1">
        <w:r>
          <w:rPr>
            <w:rStyle w:val="Hyperlink"/>
          </w:rPr>
          <w:t>http://www.ssscalc.org/ca</w:t>
        </w:r>
      </w:hyperlink>
      <w:r>
        <w:t>..</w:t>
      </w:r>
    </w:p>
  </w:footnote>
  <w:footnote w:id="8">
    <w:p w:rsidR="0038569A" w:rsidRDefault="0038569A">
      <w:pPr>
        <w:pStyle w:val="FootnoteText"/>
      </w:pPr>
      <w:r>
        <w:rPr>
          <w:rStyle w:val="FootnoteReference"/>
        </w:rPr>
        <w:footnoteRef/>
      </w:r>
      <w:r>
        <w:t xml:space="preserve"> This data was calculated and reported in seven reports, most titled “Overlooked and Undercounted:…”  See the References for citations.  All reports are available at </w:t>
      </w:r>
      <w:hyperlink r:id="rId9" w:history="1">
        <w:r w:rsidRPr="008D7125">
          <w:rPr>
            <w:rStyle w:val="Hyperlink"/>
          </w:rPr>
          <w:t>www.selfsufficiencystandard.org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181581"/>
      <w:docPartObj>
        <w:docPartGallery w:val="Page Numbers (Top of Page)"/>
        <w:docPartUnique/>
      </w:docPartObj>
    </w:sdtPr>
    <w:sdtEndPr>
      <w:rPr>
        <w:noProof/>
      </w:rPr>
    </w:sdtEndPr>
    <w:sdtContent>
      <w:p w:rsidR="0038569A" w:rsidRDefault="0038569A">
        <w:pPr>
          <w:pStyle w:val="Header"/>
          <w:jc w:val="right"/>
        </w:pPr>
        <w:r>
          <w:fldChar w:fldCharType="begin"/>
        </w:r>
        <w:r>
          <w:instrText xml:space="preserve"> PAGE   \* MERGEFORMAT </w:instrText>
        </w:r>
        <w:r>
          <w:fldChar w:fldCharType="separate"/>
        </w:r>
        <w:r w:rsidR="00B72ABF">
          <w:rPr>
            <w:noProof/>
          </w:rPr>
          <w:t>1</w:t>
        </w:r>
        <w:r>
          <w:rPr>
            <w:noProof/>
          </w:rPr>
          <w:fldChar w:fldCharType="end"/>
        </w:r>
      </w:p>
    </w:sdtContent>
  </w:sdt>
  <w:p w:rsidR="0038569A" w:rsidRPr="00DD71C9" w:rsidRDefault="00DD71C9" w:rsidP="00DD71C9">
    <w:pPr>
      <w:pStyle w:val="Header"/>
      <w:jc w:val="center"/>
      <w:rPr>
        <w:i/>
        <w:sz w:val="18"/>
        <w:szCs w:val="18"/>
      </w:rPr>
    </w:pPr>
    <w:r w:rsidRPr="00DD71C9">
      <w:rPr>
        <w:i/>
        <w:sz w:val="18"/>
        <w:szCs w:val="18"/>
      </w:rPr>
      <w:t>Draft * Please do not quote without permission *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3FD"/>
    <w:multiLevelType w:val="hybridMultilevel"/>
    <w:tmpl w:val="2560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71F86"/>
    <w:multiLevelType w:val="hybridMultilevel"/>
    <w:tmpl w:val="FEE2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F62B2"/>
    <w:multiLevelType w:val="hybridMultilevel"/>
    <w:tmpl w:val="2F36A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D675C"/>
    <w:multiLevelType w:val="hybridMultilevel"/>
    <w:tmpl w:val="2974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60AA2"/>
    <w:multiLevelType w:val="hybridMultilevel"/>
    <w:tmpl w:val="5694C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61F09"/>
    <w:multiLevelType w:val="hybridMultilevel"/>
    <w:tmpl w:val="9CAE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61BD4"/>
    <w:multiLevelType w:val="hybridMultilevel"/>
    <w:tmpl w:val="BB7C1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6918DA"/>
    <w:multiLevelType w:val="hybridMultilevel"/>
    <w:tmpl w:val="2580142C"/>
    <w:lvl w:ilvl="0" w:tplc="0409000F">
      <w:start w:val="1"/>
      <w:numFmt w:val="decimal"/>
      <w:lvlText w:val="%1."/>
      <w:lvlJc w:val="left"/>
      <w:pPr>
        <w:ind w:left="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5D3F1232"/>
    <w:multiLevelType w:val="hybridMultilevel"/>
    <w:tmpl w:val="E968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71"/>
    <w:rsid w:val="000045EE"/>
    <w:rsid w:val="00011670"/>
    <w:rsid w:val="00021B58"/>
    <w:rsid w:val="0002568A"/>
    <w:rsid w:val="00042EE2"/>
    <w:rsid w:val="00044222"/>
    <w:rsid w:val="00050B3D"/>
    <w:rsid w:val="000515D2"/>
    <w:rsid w:val="00051D34"/>
    <w:rsid w:val="00054E92"/>
    <w:rsid w:val="00066DF0"/>
    <w:rsid w:val="0007251E"/>
    <w:rsid w:val="000731BE"/>
    <w:rsid w:val="000A4C1D"/>
    <w:rsid w:val="000B3990"/>
    <w:rsid w:val="000B501E"/>
    <w:rsid w:val="000C0302"/>
    <w:rsid w:val="000C2A86"/>
    <w:rsid w:val="000C537F"/>
    <w:rsid w:val="000D0E2F"/>
    <w:rsid w:val="000D387C"/>
    <w:rsid w:val="000E1633"/>
    <w:rsid w:val="000E7121"/>
    <w:rsid w:val="00100EC6"/>
    <w:rsid w:val="001043BE"/>
    <w:rsid w:val="00107122"/>
    <w:rsid w:val="0011560D"/>
    <w:rsid w:val="00120FA1"/>
    <w:rsid w:val="00125931"/>
    <w:rsid w:val="00127D91"/>
    <w:rsid w:val="00136006"/>
    <w:rsid w:val="00161EA5"/>
    <w:rsid w:val="00162A48"/>
    <w:rsid w:val="00163DE2"/>
    <w:rsid w:val="00182030"/>
    <w:rsid w:val="00183A54"/>
    <w:rsid w:val="001923CE"/>
    <w:rsid w:val="001C6815"/>
    <w:rsid w:val="001D184C"/>
    <w:rsid w:val="001D1AF8"/>
    <w:rsid w:val="001F6F12"/>
    <w:rsid w:val="002040BF"/>
    <w:rsid w:val="00205B5A"/>
    <w:rsid w:val="0021326C"/>
    <w:rsid w:val="00224B37"/>
    <w:rsid w:val="00231378"/>
    <w:rsid w:val="00235F0C"/>
    <w:rsid w:val="0024155E"/>
    <w:rsid w:val="00260AAB"/>
    <w:rsid w:val="00260AF3"/>
    <w:rsid w:val="00262E9D"/>
    <w:rsid w:val="00267E53"/>
    <w:rsid w:val="002744A6"/>
    <w:rsid w:val="00274B65"/>
    <w:rsid w:val="002816DB"/>
    <w:rsid w:val="002A17DF"/>
    <w:rsid w:val="002B13C5"/>
    <w:rsid w:val="002B7363"/>
    <w:rsid w:val="002C1B9E"/>
    <w:rsid w:val="002D518B"/>
    <w:rsid w:val="002E0B10"/>
    <w:rsid w:val="002E3B91"/>
    <w:rsid w:val="00306660"/>
    <w:rsid w:val="0030731C"/>
    <w:rsid w:val="00316C5F"/>
    <w:rsid w:val="00317D31"/>
    <w:rsid w:val="00322871"/>
    <w:rsid w:val="00322EDE"/>
    <w:rsid w:val="0033372F"/>
    <w:rsid w:val="003554CB"/>
    <w:rsid w:val="0035667C"/>
    <w:rsid w:val="00365252"/>
    <w:rsid w:val="00371AC9"/>
    <w:rsid w:val="00373265"/>
    <w:rsid w:val="00375878"/>
    <w:rsid w:val="00382374"/>
    <w:rsid w:val="0038569A"/>
    <w:rsid w:val="0039386E"/>
    <w:rsid w:val="003A2F1E"/>
    <w:rsid w:val="003A33D1"/>
    <w:rsid w:val="003A5EB8"/>
    <w:rsid w:val="003C319C"/>
    <w:rsid w:val="003C485B"/>
    <w:rsid w:val="003C61BA"/>
    <w:rsid w:val="003D53A1"/>
    <w:rsid w:val="003E61A5"/>
    <w:rsid w:val="003F6FAE"/>
    <w:rsid w:val="0040126A"/>
    <w:rsid w:val="004107BA"/>
    <w:rsid w:val="00433583"/>
    <w:rsid w:val="004336E8"/>
    <w:rsid w:val="0043463D"/>
    <w:rsid w:val="00435C92"/>
    <w:rsid w:val="00436960"/>
    <w:rsid w:val="0044483A"/>
    <w:rsid w:val="0044715C"/>
    <w:rsid w:val="004510D3"/>
    <w:rsid w:val="00460E47"/>
    <w:rsid w:val="00466020"/>
    <w:rsid w:val="00466C07"/>
    <w:rsid w:val="004770D4"/>
    <w:rsid w:val="004C725F"/>
    <w:rsid w:val="004D57CB"/>
    <w:rsid w:val="004E3DE9"/>
    <w:rsid w:val="0050454C"/>
    <w:rsid w:val="00525D40"/>
    <w:rsid w:val="0052616D"/>
    <w:rsid w:val="00531233"/>
    <w:rsid w:val="0054388F"/>
    <w:rsid w:val="00543F7B"/>
    <w:rsid w:val="00545589"/>
    <w:rsid w:val="00570B48"/>
    <w:rsid w:val="00585878"/>
    <w:rsid w:val="00593070"/>
    <w:rsid w:val="005974C6"/>
    <w:rsid w:val="005A4689"/>
    <w:rsid w:val="005C2176"/>
    <w:rsid w:val="005C4CDA"/>
    <w:rsid w:val="005F1A2B"/>
    <w:rsid w:val="005F39E6"/>
    <w:rsid w:val="0060198D"/>
    <w:rsid w:val="00627908"/>
    <w:rsid w:val="006551F0"/>
    <w:rsid w:val="00655DAC"/>
    <w:rsid w:val="00657A19"/>
    <w:rsid w:val="00673C02"/>
    <w:rsid w:val="0067712F"/>
    <w:rsid w:val="006803E0"/>
    <w:rsid w:val="00681A27"/>
    <w:rsid w:val="00693C28"/>
    <w:rsid w:val="0069413C"/>
    <w:rsid w:val="006A3BFE"/>
    <w:rsid w:val="006B2485"/>
    <w:rsid w:val="006B6206"/>
    <w:rsid w:val="006C4569"/>
    <w:rsid w:val="006D0DB6"/>
    <w:rsid w:val="006F4BF0"/>
    <w:rsid w:val="006F5FAD"/>
    <w:rsid w:val="006F7BB4"/>
    <w:rsid w:val="00700384"/>
    <w:rsid w:val="00701B33"/>
    <w:rsid w:val="00727A40"/>
    <w:rsid w:val="00732939"/>
    <w:rsid w:val="00737079"/>
    <w:rsid w:val="007379CA"/>
    <w:rsid w:val="00740F95"/>
    <w:rsid w:val="007412C4"/>
    <w:rsid w:val="00742536"/>
    <w:rsid w:val="00742C39"/>
    <w:rsid w:val="007519E8"/>
    <w:rsid w:val="0075344B"/>
    <w:rsid w:val="007566F3"/>
    <w:rsid w:val="00761256"/>
    <w:rsid w:val="00763B00"/>
    <w:rsid w:val="0077547B"/>
    <w:rsid w:val="00790548"/>
    <w:rsid w:val="007A6D0A"/>
    <w:rsid w:val="007A7D69"/>
    <w:rsid w:val="007B31E1"/>
    <w:rsid w:val="007B382E"/>
    <w:rsid w:val="007C2A3A"/>
    <w:rsid w:val="007C6EBD"/>
    <w:rsid w:val="007D2353"/>
    <w:rsid w:val="007D2702"/>
    <w:rsid w:val="007F5433"/>
    <w:rsid w:val="007F5B8E"/>
    <w:rsid w:val="007F6FE4"/>
    <w:rsid w:val="008000E8"/>
    <w:rsid w:val="00804C96"/>
    <w:rsid w:val="0080526B"/>
    <w:rsid w:val="00814BFC"/>
    <w:rsid w:val="00852D8D"/>
    <w:rsid w:val="00856474"/>
    <w:rsid w:val="008770D6"/>
    <w:rsid w:val="00890694"/>
    <w:rsid w:val="008953C3"/>
    <w:rsid w:val="008A3259"/>
    <w:rsid w:val="008B329A"/>
    <w:rsid w:val="008B3E89"/>
    <w:rsid w:val="008C0FB2"/>
    <w:rsid w:val="008C679A"/>
    <w:rsid w:val="008C6979"/>
    <w:rsid w:val="008D1479"/>
    <w:rsid w:val="008D185D"/>
    <w:rsid w:val="008D2EBA"/>
    <w:rsid w:val="008D4E65"/>
    <w:rsid w:val="008E7E72"/>
    <w:rsid w:val="008F12F3"/>
    <w:rsid w:val="008F4D42"/>
    <w:rsid w:val="00903D30"/>
    <w:rsid w:val="00927F67"/>
    <w:rsid w:val="00932F0C"/>
    <w:rsid w:val="009360EB"/>
    <w:rsid w:val="0095177E"/>
    <w:rsid w:val="00953553"/>
    <w:rsid w:val="00960011"/>
    <w:rsid w:val="009607A6"/>
    <w:rsid w:val="00975862"/>
    <w:rsid w:val="00990F3C"/>
    <w:rsid w:val="00993648"/>
    <w:rsid w:val="00997CAF"/>
    <w:rsid w:val="009A72B8"/>
    <w:rsid w:val="009B7325"/>
    <w:rsid w:val="009C0E4E"/>
    <w:rsid w:val="009D63B1"/>
    <w:rsid w:val="009E1416"/>
    <w:rsid w:val="009E4E1D"/>
    <w:rsid w:val="009F12B2"/>
    <w:rsid w:val="009F2BDF"/>
    <w:rsid w:val="00A07204"/>
    <w:rsid w:val="00A10B37"/>
    <w:rsid w:val="00A215CD"/>
    <w:rsid w:val="00A271FE"/>
    <w:rsid w:val="00A40828"/>
    <w:rsid w:val="00A47D50"/>
    <w:rsid w:val="00A6702E"/>
    <w:rsid w:val="00A729E6"/>
    <w:rsid w:val="00A8133A"/>
    <w:rsid w:val="00A9300E"/>
    <w:rsid w:val="00A976E5"/>
    <w:rsid w:val="00AA0476"/>
    <w:rsid w:val="00AA2B46"/>
    <w:rsid w:val="00AA408E"/>
    <w:rsid w:val="00AF6CAB"/>
    <w:rsid w:val="00B01308"/>
    <w:rsid w:val="00B03DE9"/>
    <w:rsid w:val="00B048C0"/>
    <w:rsid w:val="00B05623"/>
    <w:rsid w:val="00B14B81"/>
    <w:rsid w:val="00B401EA"/>
    <w:rsid w:val="00B43267"/>
    <w:rsid w:val="00B55DDE"/>
    <w:rsid w:val="00B61A39"/>
    <w:rsid w:val="00B72ABF"/>
    <w:rsid w:val="00B95C8F"/>
    <w:rsid w:val="00B965D9"/>
    <w:rsid w:val="00BA02B5"/>
    <w:rsid w:val="00BD5760"/>
    <w:rsid w:val="00BD681E"/>
    <w:rsid w:val="00BE257B"/>
    <w:rsid w:val="00BE4F3C"/>
    <w:rsid w:val="00C01DEC"/>
    <w:rsid w:val="00C01FE9"/>
    <w:rsid w:val="00C11798"/>
    <w:rsid w:val="00C206F7"/>
    <w:rsid w:val="00C25070"/>
    <w:rsid w:val="00C32D67"/>
    <w:rsid w:val="00C43696"/>
    <w:rsid w:val="00C47F7A"/>
    <w:rsid w:val="00C54A7F"/>
    <w:rsid w:val="00C56E08"/>
    <w:rsid w:val="00C7159E"/>
    <w:rsid w:val="00C808A8"/>
    <w:rsid w:val="00C900C2"/>
    <w:rsid w:val="00C91C3F"/>
    <w:rsid w:val="00C93954"/>
    <w:rsid w:val="00CB052F"/>
    <w:rsid w:val="00CB4DF3"/>
    <w:rsid w:val="00CC1073"/>
    <w:rsid w:val="00CC369E"/>
    <w:rsid w:val="00CC3F4C"/>
    <w:rsid w:val="00CD18EB"/>
    <w:rsid w:val="00CE6A2D"/>
    <w:rsid w:val="00D00B72"/>
    <w:rsid w:val="00D17DDF"/>
    <w:rsid w:val="00D23214"/>
    <w:rsid w:val="00D248D1"/>
    <w:rsid w:val="00D30698"/>
    <w:rsid w:val="00D3397F"/>
    <w:rsid w:val="00D604F8"/>
    <w:rsid w:val="00D658DC"/>
    <w:rsid w:val="00D71840"/>
    <w:rsid w:val="00D747C1"/>
    <w:rsid w:val="00D842BC"/>
    <w:rsid w:val="00D85E8A"/>
    <w:rsid w:val="00D95940"/>
    <w:rsid w:val="00D974CA"/>
    <w:rsid w:val="00D975E7"/>
    <w:rsid w:val="00DA0665"/>
    <w:rsid w:val="00DB0D8D"/>
    <w:rsid w:val="00DB6B91"/>
    <w:rsid w:val="00DC2C46"/>
    <w:rsid w:val="00DC781F"/>
    <w:rsid w:val="00DD333D"/>
    <w:rsid w:val="00DD71C9"/>
    <w:rsid w:val="00DE4ABE"/>
    <w:rsid w:val="00E02A4D"/>
    <w:rsid w:val="00E22758"/>
    <w:rsid w:val="00E343C1"/>
    <w:rsid w:val="00E95D91"/>
    <w:rsid w:val="00EA6F59"/>
    <w:rsid w:val="00EB459A"/>
    <w:rsid w:val="00EC4BD4"/>
    <w:rsid w:val="00EE1228"/>
    <w:rsid w:val="00EF6220"/>
    <w:rsid w:val="00F0499B"/>
    <w:rsid w:val="00F05D02"/>
    <w:rsid w:val="00F141A0"/>
    <w:rsid w:val="00F15242"/>
    <w:rsid w:val="00F24DC8"/>
    <w:rsid w:val="00F46DA3"/>
    <w:rsid w:val="00F47EA7"/>
    <w:rsid w:val="00F63B4B"/>
    <w:rsid w:val="00F67F71"/>
    <w:rsid w:val="00F8014D"/>
    <w:rsid w:val="00F80A63"/>
    <w:rsid w:val="00F840EB"/>
    <w:rsid w:val="00F91181"/>
    <w:rsid w:val="00F91C04"/>
    <w:rsid w:val="00F9518F"/>
    <w:rsid w:val="00FA45F6"/>
    <w:rsid w:val="00FA66CC"/>
    <w:rsid w:val="00FC322B"/>
    <w:rsid w:val="00FC5465"/>
    <w:rsid w:val="00FE5B20"/>
    <w:rsid w:val="00FE729E"/>
    <w:rsid w:val="00FE7949"/>
    <w:rsid w:val="00FE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54"/>
    <w:pPr>
      <w:ind w:left="720"/>
      <w:contextualSpacing/>
    </w:pPr>
  </w:style>
  <w:style w:type="paragraph" w:styleId="EndnoteText">
    <w:name w:val="endnote text"/>
    <w:basedOn w:val="Normal"/>
    <w:link w:val="EndnoteTextChar"/>
    <w:uiPriority w:val="99"/>
    <w:semiHidden/>
    <w:unhideWhenUsed/>
    <w:rsid w:val="004471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715C"/>
    <w:rPr>
      <w:sz w:val="20"/>
      <w:szCs w:val="20"/>
    </w:rPr>
  </w:style>
  <w:style w:type="character" w:styleId="EndnoteReference">
    <w:name w:val="endnote reference"/>
    <w:basedOn w:val="DefaultParagraphFont"/>
    <w:uiPriority w:val="99"/>
    <w:semiHidden/>
    <w:unhideWhenUsed/>
    <w:rsid w:val="0044715C"/>
    <w:rPr>
      <w:vertAlign w:val="superscript"/>
    </w:rPr>
  </w:style>
  <w:style w:type="character" w:styleId="Hyperlink">
    <w:name w:val="Hyperlink"/>
    <w:basedOn w:val="DefaultParagraphFont"/>
    <w:uiPriority w:val="99"/>
    <w:unhideWhenUsed/>
    <w:rsid w:val="00D71840"/>
    <w:rPr>
      <w:color w:val="0000FF" w:themeColor="hyperlink"/>
      <w:u w:val="single"/>
    </w:rPr>
  </w:style>
  <w:style w:type="paragraph" w:styleId="BalloonText">
    <w:name w:val="Balloon Text"/>
    <w:basedOn w:val="Normal"/>
    <w:link w:val="BalloonTextChar"/>
    <w:uiPriority w:val="99"/>
    <w:semiHidden/>
    <w:unhideWhenUsed/>
    <w:rsid w:val="00D65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8DC"/>
    <w:rPr>
      <w:rFonts w:ascii="Tahoma" w:hAnsi="Tahoma" w:cs="Tahoma"/>
      <w:sz w:val="16"/>
      <w:szCs w:val="16"/>
    </w:rPr>
  </w:style>
  <w:style w:type="paragraph" w:styleId="Header">
    <w:name w:val="header"/>
    <w:basedOn w:val="Normal"/>
    <w:link w:val="HeaderChar"/>
    <w:uiPriority w:val="99"/>
    <w:unhideWhenUsed/>
    <w:rsid w:val="00136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006"/>
  </w:style>
  <w:style w:type="paragraph" w:styleId="Footer">
    <w:name w:val="footer"/>
    <w:basedOn w:val="Normal"/>
    <w:link w:val="FooterChar"/>
    <w:uiPriority w:val="99"/>
    <w:unhideWhenUsed/>
    <w:rsid w:val="00136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006"/>
  </w:style>
  <w:style w:type="paragraph" w:customStyle="1" w:styleId="03c-endnoteTextStyles">
    <w:name w:val="03c-endnote (Text Styles)"/>
    <w:basedOn w:val="Normal"/>
    <w:uiPriority w:val="99"/>
    <w:rsid w:val="00932F0C"/>
    <w:pPr>
      <w:suppressAutoHyphens/>
      <w:autoSpaceDE w:val="0"/>
      <w:autoSpaceDN w:val="0"/>
      <w:adjustRightInd w:val="0"/>
      <w:spacing w:after="180" w:line="300" w:lineRule="atLeast"/>
      <w:textAlignment w:val="center"/>
    </w:pPr>
    <w:rPr>
      <w:rFonts w:ascii="Minion Pro" w:hAnsi="Minion Pro" w:cs="Minion Pro"/>
      <w:color w:val="000000"/>
      <w:vertAlign w:val="superscript"/>
    </w:rPr>
  </w:style>
  <w:style w:type="paragraph" w:customStyle="1" w:styleId="Body-endnoteTextStyles">
    <w:name w:val="Body - endnote (Text Styles)"/>
    <w:basedOn w:val="Normal"/>
    <w:uiPriority w:val="99"/>
    <w:rsid w:val="00932F0C"/>
    <w:pPr>
      <w:suppressAutoHyphens/>
      <w:autoSpaceDE w:val="0"/>
      <w:autoSpaceDN w:val="0"/>
      <w:adjustRightInd w:val="0"/>
      <w:spacing w:after="180" w:line="210" w:lineRule="atLeast"/>
      <w:textAlignment w:val="center"/>
    </w:pPr>
    <w:rPr>
      <w:rFonts w:ascii="Minion Pro" w:hAnsi="Minion Pro" w:cs="Minion Pro"/>
      <w:color w:val="000000"/>
      <w:sz w:val="19"/>
      <w:szCs w:val="19"/>
    </w:rPr>
  </w:style>
  <w:style w:type="paragraph" w:styleId="FootnoteText">
    <w:name w:val="footnote text"/>
    <w:basedOn w:val="Normal"/>
    <w:link w:val="FootnoteTextChar"/>
    <w:uiPriority w:val="99"/>
    <w:semiHidden/>
    <w:unhideWhenUsed/>
    <w:rsid w:val="00932F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F0C"/>
    <w:rPr>
      <w:sz w:val="20"/>
      <w:szCs w:val="20"/>
    </w:rPr>
  </w:style>
  <w:style w:type="character" w:styleId="FootnoteReference">
    <w:name w:val="footnote reference"/>
    <w:basedOn w:val="DefaultParagraphFont"/>
    <w:uiPriority w:val="99"/>
    <w:semiHidden/>
    <w:unhideWhenUsed/>
    <w:rsid w:val="00932F0C"/>
    <w:rPr>
      <w:vertAlign w:val="superscript"/>
    </w:rPr>
  </w:style>
  <w:style w:type="paragraph" w:customStyle="1" w:styleId="DefinitionList">
    <w:name w:val="Definition List"/>
    <w:basedOn w:val="Normal"/>
    <w:next w:val="Normal"/>
    <w:rsid w:val="00D604F8"/>
    <w:pPr>
      <w:spacing w:after="0" w:line="240" w:lineRule="auto"/>
      <w:ind w:left="360"/>
    </w:pPr>
    <w:rPr>
      <w:rFonts w:ascii="Times New Roman" w:eastAsia="Times New Roman" w:hAnsi="Times New Roman" w:cs="Times New Roman"/>
      <w:snapToGrid w:val="0"/>
      <w:sz w:val="24"/>
      <w:szCs w:val="20"/>
    </w:rPr>
  </w:style>
  <w:style w:type="paragraph" w:styleId="NormalWeb">
    <w:name w:val="Normal (Web)"/>
    <w:basedOn w:val="Normal"/>
    <w:rsid w:val="00D604F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4CDA"/>
    <w:rPr>
      <w:color w:val="800080" w:themeColor="followedHyperlink"/>
      <w:u w:val="single"/>
    </w:rPr>
  </w:style>
  <w:style w:type="paragraph" w:customStyle="1" w:styleId="Default">
    <w:name w:val="Default"/>
    <w:rsid w:val="006B2485"/>
    <w:pPr>
      <w:widowControl w:val="0"/>
      <w:autoSpaceDE w:val="0"/>
      <w:autoSpaceDN w:val="0"/>
      <w:adjustRightInd w:val="0"/>
      <w:spacing w:after="0" w:line="240" w:lineRule="auto"/>
    </w:pPr>
    <w:rPr>
      <w:rFonts w:ascii="Trebuchet MS" w:hAnsi="Trebuchet MS" w:cs="Trebuchet MS"/>
      <w:color w:val="000000"/>
      <w:sz w:val="24"/>
      <w:szCs w:val="24"/>
    </w:rPr>
  </w:style>
  <w:style w:type="character" w:customStyle="1" w:styleId="A0">
    <w:name w:val="A0"/>
    <w:uiPriority w:val="99"/>
    <w:rsid w:val="006B2485"/>
    <w:rPr>
      <w:rFonts w:cs="Trebuchet MS"/>
      <w:color w:val="000000"/>
      <w:sz w:val="20"/>
      <w:szCs w:val="20"/>
    </w:rPr>
  </w:style>
  <w:style w:type="character" w:customStyle="1" w:styleId="A1">
    <w:name w:val="A1"/>
    <w:uiPriority w:val="99"/>
    <w:rsid w:val="006B2485"/>
    <w:rPr>
      <w:rFonts w:cs="Trebuchet MS"/>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54"/>
    <w:pPr>
      <w:ind w:left="720"/>
      <w:contextualSpacing/>
    </w:pPr>
  </w:style>
  <w:style w:type="paragraph" w:styleId="EndnoteText">
    <w:name w:val="endnote text"/>
    <w:basedOn w:val="Normal"/>
    <w:link w:val="EndnoteTextChar"/>
    <w:uiPriority w:val="99"/>
    <w:semiHidden/>
    <w:unhideWhenUsed/>
    <w:rsid w:val="004471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715C"/>
    <w:rPr>
      <w:sz w:val="20"/>
      <w:szCs w:val="20"/>
    </w:rPr>
  </w:style>
  <w:style w:type="character" w:styleId="EndnoteReference">
    <w:name w:val="endnote reference"/>
    <w:basedOn w:val="DefaultParagraphFont"/>
    <w:uiPriority w:val="99"/>
    <w:semiHidden/>
    <w:unhideWhenUsed/>
    <w:rsid w:val="0044715C"/>
    <w:rPr>
      <w:vertAlign w:val="superscript"/>
    </w:rPr>
  </w:style>
  <w:style w:type="character" w:styleId="Hyperlink">
    <w:name w:val="Hyperlink"/>
    <w:basedOn w:val="DefaultParagraphFont"/>
    <w:uiPriority w:val="99"/>
    <w:unhideWhenUsed/>
    <w:rsid w:val="00D71840"/>
    <w:rPr>
      <w:color w:val="0000FF" w:themeColor="hyperlink"/>
      <w:u w:val="single"/>
    </w:rPr>
  </w:style>
  <w:style w:type="paragraph" w:styleId="BalloonText">
    <w:name w:val="Balloon Text"/>
    <w:basedOn w:val="Normal"/>
    <w:link w:val="BalloonTextChar"/>
    <w:uiPriority w:val="99"/>
    <w:semiHidden/>
    <w:unhideWhenUsed/>
    <w:rsid w:val="00D65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8DC"/>
    <w:rPr>
      <w:rFonts w:ascii="Tahoma" w:hAnsi="Tahoma" w:cs="Tahoma"/>
      <w:sz w:val="16"/>
      <w:szCs w:val="16"/>
    </w:rPr>
  </w:style>
  <w:style w:type="paragraph" w:styleId="Header">
    <w:name w:val="header"/>
    <w:basedOn w:val="Normal"/>
    <w:link w:val="HeaderChar"/>
    <w:uiPriority w:val="99"/>
    <w:unhideWhenUsed/>
    <w:rsid w:val="00136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006"/>
  </w:style>
  <w:style w:type="paragraph" w:styleId="Footer">
    <w:name w:val="footer"/>
    <w:basedOn w:val="Normal"/>
    <w:link w:val="FooterChar"/>
    <w:uiPriority w:val="99"/>
    <w:unhideWhenUsed/>
    <w:rsid w:val="00136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006"/>
  </w:style>
  <w:style w:type="paragraph" w:customStyle="1" w:styleId="03c-endnoteTextStyles">
    <w:name w:val="03c-endnote (Text Styles)"/>
    <w:basedOn w:val="Normal"/>
    <w:uiPriority w:val="99"/>
    <w:rsid w:val="00932F0C"/>
    <w:pPr>
      <w:suppressAutoHyphens/>
      <w:autoSpaceDE w:val="0"/>
      <w:autoSpaceDN w:val="0"/>
      <w:adjustRightInd w:val="0"/>
      <w:spacing w:after="180" w:line="300" w:lineRule="atLeast"/>
      <w:textAlignment w:val="center"/>
    </w:pPr>
    <w:rPr>
      <w:rFonts w:ascii="Minion Pro" w:hAnsi="Minion Pro" w:cs="Minion Pro"/>
      <w:color w:val="000000"/>
      <w:vertAlign w:val="superscript"/>
    </w:rPr>
  </w:style>
  <w:style w:type="paragraph" w:customStyle="1" w:styleId="Body-endnoteTextStyles">
    <w:name w:val="Body - endnote (Text Styles)"/>
    <w:basedOn w:val="Normal"/>
    <w:uiPriority w:val="99"/>
    <w:rsid w:val="00932F0C"/>
    <w:pPr>
      <w:suppressAutoHyphens/>
      <w:autoSpaceDE w:val="0"/>
      <w:autoSpaceDN w:val="0"/>
      <w:adjustRightInd w:val="0"/>
      <w:spacing w:after="180" w:line="210" w:lineRule="atLeast"/>
      <w:textAlignment w:val="center"/>
    </w:pPr>
    <w:rPr>
      <w:rFonts w:ascii="Minion Pro" w:hAnsi="Minion Pro" w:cs="Minion Pro"/>
      <w:color w:val="000000"/>
      <w:sz w:val="19"/>
      <w:szCs w:val="19"/>
    </w:rPr>
  </w:style>
  <w:style w:type="paragraph" w:styleId="FootnoteText">
    <w:name w:val="footnote text"/>
    <w:basedOn w:val="Normal"/>
    <w:link w:val="FootnoteTextChar"/>
    <w:uiPriority w:val="99"/>
    <w:semiHidden/>
    <w:unhideWhenUsed/>
    <w:rsid w:val="00932F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F0C"/>
    <w:rPr>
      <w:sz w:val="20"/>
      <w:szCs w:val="20"/>
    </w:rPr>
  </w:style>
  <w:style w:type="character" w:styleId="FootnoteReference">
    <w:name w:val="footnote reference"/>
    <w:basedOn w:val="DefaultParagraphFont"/>
    <w:uiPriority w:val="99"/>
    <w:semiHidden/>
    <w:unhideWhenUsed/>
    <w:rsid w:val="00932F0C"/>
    <w:rPr>
      <w:vertAlign w:val="superscript"/>
    </w:rPr>
  </w:style>
  <w:style w:type="paragraph" w:customStyle="1" w:styleId="DefinitionList">
    <w:name w:val="Definition List"/>
    <w:basedOn w:val="Normal"/>
    <w:next w:val="Normal"/>
    <w:rsid w:val="00D604F8"/>
    <w:pPr>
      <w:spacing w:after="0" w:line="240" w:lineRule="auto"/>
      <w:ind w:left="360"/>
    </w:pPr>
    <w:rPr>
      <w:rFonts w:ascii="Times New Roman" w:eastAsia="Times New Roman" w:hAnsi="Times New Roman" w:cs="Times New Roman"/>
      <w:snapToGrid w:val="0"/>
      <w:sz w:val="24"/>
      <w:szCs w:val="20"/>
    </w:rPr>
  </w:style>
  <w:style w:type="paragraph" w:styleId="NormalWeb">
    <w:name w:val="Normal (Web)"/>
    <w:basedOn w:val="Normal"/>
    <w:rsid w:val="00D604F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4CDA"/>
    <w:rPr>
      <w:color w:val="800080" w:themeColor="followedHyperlink"/>
      <w:u w:val="single"/>
    </w:rPr>
  </w:style>
  <w:style w:type="paragraph" w:customStyle="1" w:styleId="Default">
    <w:name w:val="Default"/>
    <w:rsid w:val="006B2485"/>
    <w:pPr>
      <w:widowControl w:val="0"/>
      <w:autoSpaceDE w:val="0"/>
      <w:autoSpaceDN w:val="0"/>
      <w:adjustRightInd w:val="0"/>
      <w:spacing w:after="0" w:line="240" w:lineRule="auto"/>
    </w:pPr>
    <w:rPr>
      <w:rFonts w:ascii="Trebuchet MS" w:hAnsi="Trebuchet MS" w:cs="Trebuchet MS"/>
      <w:color w:val="000000"/>
      <w:sz w:val="24"/>
      <w:szCs w:val="24"/>
    </w:rPr>
  </w:style>
  <w:style w:type="character" w:customStyle="1" w:styleId="A0">
    <w:name w:val="A0"/>
    <w:uiPriority w:val="99"/>
    <w:rsid w:val="006B2485"/>
    <w:rPr>
      <w:rFonts w:cs="Trebuchet MS"/>
      <w:color w:val="000000"/>
      <w:sz w:val="20"/>
      <w:szCs w:val="20"/>
    </w:rPr>
  </w:style>
  <w:style w:type="character" w:customStyle="1" w:styleId="A1">
    <w:name w:val="A1"/>
    <w:uiPriority w:val="99"/>
    <w:rsid w:val="006B2485"/>
    <w:rPr>
      <w:rFonts w:cs="Trebuchet MS"/>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351">
      <w:bodyDiv w:val="1"/>
      <w:marLeft w:val="0"/>
      <w:marRight w:val="0"/>
      <w:marTop w:val="0"/>
      <w:marBottom w:val="0"/>
      <w:divBdr>
        <w:top w:val="none" w:sz="0" w:space="0" w:color="auto"/>
        <w:left w:val="none" w:sz="0" w:space="0" w:color="auto"/>
        <w:bottom w:val="none" w:sz="0" w:space="0" w:color="auto"/>
        <w:right w:val="none" w:sz="0" w:space="0" w:color="auto"/>
      </w:divBdr>
    </w:div>
    <w:div w:id="39205687">
      <w:bodyDiv w:val="1"/>
      <w:marLeft w:val="0"/>
      <w:marRight w:val="0"/>
      <w:marTop w:val="0"/>
      <w:marBottom w:val="0"/>
      <w:divBdr>
        <w:top w:val="none" w:sz="0" w:space="0" w:color="auto"/>
        <w:left w:val="none" w:sz="0" w:space="0" w:color="auto"/>
        <w:bottom w:val="none" w:sz="0" w:space="0" w:color="auto"/>
        <w:right w:val="none" w:sz="0" w:space="0" w:color="auto"/>
      </w:divBdr>
    </w:div>
    <w:div w:id="197939317">
      <w:bodyDiv w:val="1"/>
      <w:marLeft w:val="0"/>
      <w:marRight w:val="0"/>
      <w:marTop w:val="0"/>
      <w:marBottom w:val="0"/>
      <w:divBdr>
        <w:top w:val="none" w:sz="0" w:space="0" w:color="auto"/>
        <w:left w:val="none" w:sz="0" w:space="0" w:color="auto"/>
        <w:bottom w:val="none" w:sz="0" w:space="0" w:color="auto"/>
        <w:right w:val="none" w:sz="0" w:space="0" w:color="auto"/>
      </w:divBdr>
    </w:div>
    <w:div w:id="303774716">
      <w:bodyDiv w:val="1"/>
      <w:marLeft w:val="0"/>
      <w:marRight w:val="0"/>
      <w:marTop w:val="0"/>
      <w:marBottom w:val="0"/>
      <w:divBdr>
        <w:top w:val="none" w:sz="0" w:space="0" w:color="auto"/>
        <w:left w:val="none" w:sz="0" w:space="0" w:color="auto"/>
        <w:bottom w:val="none" w:sz="0" w:space="0" w:color="auto"/>
        <w:right w:val="none" w:sz="0" w:space="0" w:color="auto"/>
      </w:divBdr>
    </w:div>
    <w:div w:id="338044556">
      <w:bodyDiv w:val="1"/>
      <w:marLeft w:val="0"/>
      <w:marRight w:val="0"/>
      <w:marTop w:val="0"/>
      <w:marBottom w:val="0"/>
      <w:divBdr>
        <w:top w:val="none" w:sz="0" w:space="0" w:color="auto"/>
        <w:left w:val="none" w:sz="0" w:space="0" w:color="auto"/>
        <w:bottom w:val="none" w:sz="0" w:space="0" w:color="auto"/>
        <w:right w:val="none" w:sz="0" w:space="0" w:color="auto"/>
      </w:divBdr>
    </w:div>
    <w:div w:id="635337664">
      <w:bodyDiv w:val="1"/>
      <w:marLeft w:val="0"/>
      <w:marRight w:val="0"/>
      <w:marTop w:val="0"/>
      <w:marBottom w:val="0"/>
      <w:divBdr>
        <w:top w:val="none" w:sz="0" w:space="0" w:color="auto"/>
        <w:left w:val="none" w:sz="0" w:space="0" w:color="auto"/>
        <w:bottom w:val="none" w:sz="0" w:space="0" w:color="auto"/>
        <w:right w:val="none" w:sz="0" w:space="0" w:color="auto"/>
      </w:divBdr>
    </w:div>
    <w:div w:id="895896921">
      <w:bodyDiv w:val="1"/>
      <w:marLeft w:val="0"/>
      <w:marRight w:val="0"/>
      <w:marTop w:val="0"/>
      <w:marBottom w:val="0"/>
      <w:divBdr>
        <w:top w:val="none" w:sz="0" w:space="0" w:color="auto"/>
        <w:left w:val="none" w:sz="0" w:space="0" w:color="auto"/>
        <w:bottom w:val="none" w:sz="0" w:space="0" w:color="auto"/>
        <w:right w:val="none" w:sz="0" w:space="0" w:color="auto"/>
      </w:divBdr>
    </w:div>
    <w:div w:id="1182934839">
      <w:bodyDiv w:val="1"/>
      <w:marLeft w:val="0"/>
      <w:marRight w:val="0"/>
      <w:marTop w:val="0"/>
      <w:marBottom w:val="0"/>
      <w:divBdr>
        <w:top w:val="none" w:sz="0" w:space="0" w:color="auto"/>
        <w:left w:val="none" w:sz="0" w:space="0" w:color="auto"/>
        <w:bottom w:val="none" w:sz="0" w:space="0" w:color="auto"/>
        <w:right w:val="none" w:sz="0" w:space="0" w:color="auto"/>
      </w:divBdr>
    </w:div>
    <w:div w:id="1188370399">
      <w:bodyDiv w:val="1"/>
      <w:marLeft w:val="0"/>
      <w:marRight w:val="0"/>
      <w:marTop w:val="0"/>
      <w:marBottom w:val="0"/>
      <w:divBdr>
        <w:top w:val="none" w:sz="0" w:space="0" w:color="auto"/>
        <w:left w:val="none" w:sz="0" w:space="0" w:color="auto"/>
        <w:bottom w:val="none" w:sz="0" w:space="0" w:color="auto"/>
        <w:right w:val="none" w:sz="0" w:space="0" w:color="auto"/>
      </w:divBdr>
    </w:div>
    <w:div w:id="1231232033">
      <w:bodyDiv w:val="1"/>
      <w:marLeft w:val="0"/>
      <w:marRight w:val="0"/>
      <w:marTop w:val="0"/>
      <w:marBottom w:val="0"/>
      <w:divBdr>
        <w:top w:val="none" w:sz="0" w:space="0" w:color="auto"/>
        <w:left w:val="none" w:sz="0" w:space="0" w:color="auto"/>
        <w:bottom w:val="none" w:sz="0" w:space="0" w:color="auto"/>
        <w:right w:val="none" w:sz="0" w:space="0" w:color="auto"/>
      </w:divBdr>
    </w:div>
    <w:div w:id="1257862563">
      <w:bodyDiv w:val="1"/>
      <w:marLeft w:val="0"/>
      <w:marRight w:val="0"/>
      <w:marTop w:val="0"/>
      <w:marBottom w:val="0"/>
      <w:divBdr>
        <w:top w:val="none" w:sz="0" w:space="0" w:color="auto"/>
        <w:left w:val="none" w:sz="0" w:space="0" w:color="auto"/>
        <w:bottom w:val="none" w:sz="0" w:space="0" w:color="auto"/>
        <w:right w:val="none" w:sz="0" w:space="0" w:color="auto"/>
      </w:divBdr>
    </w:div>
    <w:div w:id="1523863155">
      <w:bodyDiv w:val="1"/>
      <w:marLeft w:val="0"/>
      <w:marRight w:val="0"/>
      <w:marTop w:val="0"/>
      <w:marBottom w:val="0"/>
      <w:divBdr>
        <w:top w:val="none" w:sz="0" w:space="0" w:color="auto"/>
        <w:left w:val="none" w:sz="0" w:space="0" w:color="auto"/>
        <w:bottom w:val="none" w:sz="0" w:space="0" w:color="auto"/>
        <w:right w:val="none" w:sz="0" w:space="0" w:color="auto"/>
      </w:divBdr>
    </w:div>
    <w:div w:id="1574318307">
      <w:bodyDiv w:val="1"/>
      <w:marLeft w:val="0"/>
      <w:marRight w:val="0"/>
      <w:marTop w:val="0"/>
      <w:marBottom w:val="0"/>
      <w:divBdr>
        <w:top w:val="none" w:sz="0" w:space="0" w:color="auto"/>
        <w:left w:val="none" w:sz="0" w:space="0" w:color="auto"/>
        <w:bottom w:val="none" w:sz="0" w:space="0" w:color="auto"/>
        <w:right w:val="none" w:sz="0" w:space="0" w:color="auto"/>
      </w:divBdr>
    </w:div>
    <w:div w:id="1607686741">
      <w:bodyDiv w:val="1"/>
      <w:marLeft w:val="0"/>
      <w:marRight w:val="0"/>
      <w:marTop w:val="0"/>
      <w:marBottom w:val="0"/>
      <w:divBdr>
        <w:top w:val="none" w:sz="0" w:space="0" w:color="auto"/>
        <w:left w:val="none" w:sz="0" w:space="0" w:color="auto"/>
        <w:bottom w:val="none" w:sz="0" w:space="0" w:color="auto"/>
        <w:right w:val="none" w:sz="0" w:space="0" w:color="auto"/>
      </w:divBdr>
    </w:div>
    <w:div w:id="1757897836">
      <w:bodyDiv w:val="1"/>
      <w:marLeft w:val="0"/>
      <w:marRight w:val="0"/>
      <w:marTop w:val="0"/>
      <w:marBottom w:val="0"/>
      <w:divBdr>
        <w:top w:val="none" w:sz="0" w:space="0" w:color="auto"/>
        <w:left w:val="none" w:sz="0" w:space="0" w:color="auto"/>
        <w:bottom w:val="none" w:sz="0" w:space="0" w:color="auto"/>
        <w:right w:val="none" w:sz="0" w:space="0" w:color="auto"/>
      </w:divBdr>
    </w:div>
    <w:div w:id="1967737826">
      <w:bodyDiv w:val="1"/>
      <w:marLeft w:val="0"/>
      <w:marRight w:val="0"/>
      <w:marTop w:val="0"/>
      <w:marBottom w:val="0"/>
      <w:divBdr>
        <w:top w:val="none" w:sz="0" w:space="0" w:color="auto"/>
        <w:left w:val="none" w:sz="0" w:space="0" w:color="auto"/>
        <w:bottom w:val="none" w:sz="0" w:space="0" w:color="auto"/>
        <w:right w:val="none" w:sz="0" w:space="0" w:color="auto"/>
      </w:divBdr>
    </w:div>
    <w:div w:id="212703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mit.edu/cre/research/hai/pdf/FPZ_021207.pdf" TargetMode="External"/><Relationship Id="rId18" Type="http://schemas.openxmlformats.org/officeDocument/2006/relationships/hyperlink" Target="http://selfsufficiencystandard.org/docs/New%20Jersey%20Demographic.pdf" TargetMode="External"/><Relationship Id="rId3" Type="http://schemas.openxmlformats.org/officeDocument/2006/relationships/styles" Target="styles.xml"/><Relationship Id="rId21" Type="http://schemas.openxmlformats.org/officeDocument/2006/relationships/hyperlink" Target="http://www.selfsufficiencystandard.org/docs/CA%20Overlooked%20%20Undercounted%202009.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elfsufficiencystandard.org/docs/Connecticut%20Demographic.pdf" TargetMode="External"/><Relationship Id="rId2" Type="http://schemas.openxmlformats.org/officeDocument/2006/relationships/numbering" Target="numbering.xml"/><Relationship Id="rId16" Type="http://schemas.openxmlformats.org/officeDocument/2006/relationships/hyperlink" Target="http://www.selfsufficiencystandard.org/docs/Washington%20State%20Demographic.pdf" TargetMode="External"/><Relationship Id="rId20" Type="http://schemas.openxmlformats.org/officeDocument/2006/relationships/hyperlink" Target="http://www.pathwayspa.org/PW_Over_Under_lo_r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elfsufficiencystandard.org/docs/Colorado%20Demographic.pdf"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www.selfsufficiencystandard.org/docs/Mississippi%20Demographic%202009.pdf" TargetMode="External"/><Relationship Id="rId4" Type="http://schemas.microsoft.com/office/2007/relationships/stylesWithEffects" Target="stylesWithEffects.xml"/><Relationship Id="rId9" Type="http://schemas.openxmlformats.org/officeDocument/2006/relationships/hyperlink" Target="http://www.selfsufficiencystandard.org" TargetMode="External"/><Relationship Id="rId14" Type="http://schemas.openxmlformats.org/officeDocument/2006/relationships/hyperlink" Target="http://www.census.gov/hhes/www/poverty/SPM_TWGObservations.pdf" TargetMode="External"/><Relationship Id="rId22" Type="http://schemas.openxmlformats.org/officeDocument/2006/relationships/hyperlink" Target="http://www.census.gov/hhes/povmeas/methodology/supplemental/overview.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sscalc.org/ca" TargetMode="External"/><Relationship Id="rId3" Type="http://schemas.openxmlformats.org/officeDocument/2006/relationships/hyperlink" Target="http://www.thecalculator.org" TargetMode="External"/><Relationship Id="rId7" Type="http://schemas.openxmlformats.org/officeDocument/2006/relationships/hyperlink" Target="http://eqldata.com/db/gsddLHY2/OTBET/flash?save-on-close=SavedInfo&amp;winwm=1" TargetMode="External"/><Relationship Id="rId2" Type="http://schemas.openxmlformats.org/officeDocument/2006/relationships/hyperlink" Target="http://www.workingpoorfamilies.org/pdfs/Framework_of_Indicators.pdf" TargetMode="External"/><Relationship Id="rId1" Type="http://schemas.openxmlformats.org/officeDocument/2006/relationships/hyperlink" Target="http://www.workingpoorfamilies.org/about.html" TargetMode="External"/><Relationship Id="rId6" Type="http://schemas.openxmlformats.org/officeDocument/2006/relationships/hyperlink" Target="https://www2.prosperityplanner.org/" TargetMode="External"/><Relationship Id="rId5" Type="http://schemas.openxmlformats.org/officeDocument/2006/relationships/hyperlink" Target="http://www.coloradoselfsufficiencystandardcalculator.org/ColoradoCalculator/Home.aspx;%20for" TargetMode="External"/><Relationship Id="rId4" Type="http://schemas.openxmlformats.org/officeDocument/2006/relationships/hyperlink" Target="http://www.wceca.org" TargetMode="External"/><Relationship Id="rId9" Type="http://schemas.openxmlformats.org/officeDocument/2006/relationships/hyperlink" Target="http://www.selfsufficiencystandard.org"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My%20Documents\SSS\Presentations&amp;Papers\APPAM2011\APPAM-11-Tables_101811SLdps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5411328991069248E-2"/>
          <c:y val="0.16259603913147219"/>
          <c:w val="0.86968776480181187"/>
          <c:h val="0.75979416209337469"/>
        </c:manualLayout>
      </c:layout>
      <c:barChart>
        <c:barDir val="col"/>
        <c:grouping val="clustered"/>
        <c:varyColors val="0"/>
        <c:ser>
          <c:idx val="0"/>
          <c:order val="0"/>
          <c:tx>
            <c:strRef>
              <c:f>'[APPAM-11-Tables_101811SLdpsl.xlsx]Data for Charts'!$B$9</c:f>
              <c:strCache>
                <c:ptCount val="1"/>
                <c:pt idx="0">
                  <c:v>FPL</c:v>
                </c:pt>
              </c:strCache>
            </c:strRef>
          </c:tx>
          <c:spPr>
            <a:solidFill>
              <a:schemeClr val="accent4">
                <a:lumMod val="40000"/>
                <a:lumOff val="60000"/>
              </a:schemeClr>
            </a:solidFill>
          </c:spPr>
          <c:invertIfNegative val="0"/>
          <c:dLbls>
            <c:txPr>
              <a:bodyPr/>
              <a:lstStyle/>
              <a:p>
                <a:pPr>
                  <a:defRPr sz="1200" b="1"/>
                </a:pPr>
                <a:endParaRPr lang="en-US"/>
              </a:p>
            </c:txPr>
            <c:showLegendKey val="0"/>
            <c:showVal val="1"/>
            <c:showCatName val="0"/>
            <c:showSerName val="0"/>
            <c:showPercent val="0"/>
            <c:showBubbleSize val="0"/>
            <c:showLeaderLines val="0"/>
          </c:dLbls>
          <c:cat>
            <c:strRef>
              <c:f>'[APPAM-11-Tables_101811SLdpsl.xlsx]Data for Charts'!$A$10:$A$16</c:f>
              <c:strCache>
                <c:ptCount val="7"/>
                <c:pt idx="0">
                  <c:v>CT</c:v>
                </c:pt>
                <c:pt idx="1">
                  <c:v>NJ</c:v>
                </c:pt>
                <c:pt idx="2">
                  <c:v>CO</c:v>
                </c:pt>
                <c:pt idx="3">
                  <c:v>WA</c:v>
                </c:pt>
                <c:pt idx="4">
                  <c:v>PA</c:v>
                </c:pt>
                <c:pt idx="5">
                  <c:v>CA</c:v>
                </c:pt>
                <c:pt idx="6">
                  <c:v>MS</c:v>
                </c:pt>
              </c:strCache>
            </c:strRef>
          </c:cat>
          <c:val>
            <c:numRef>
              <c:f>'[APPAM-11-Tables_101811SLdpsl.xlsx]Data for Charts'!$B$10:$B$16</c:f>
              <c:numCache>
                <c:formatCode>General</c:formatCode>
                <c:ptCount val="7"/>
                <c:pt idx="0">
                  <c:v>7</c:v>
                </c:pt>
                <c:pt idx="1">
                  <c:v>7</c:v>
                </c:pt>
                <c:pt idx="2">
                  <c:v>7.2</c:v>
                </c:pt>
                <c:pt idx="3">
                  <c:v>8.3000000000000007</c:v>
                </c:pt>
                <c:pt idx="4">
                  <c:v>9.1</c:v>
                </c:pt>
                <c:pt idx="5">
                  <c:v>9.5</c:v>
                </c:pt>
                <c:pt idx="6">
                  <c:v>17.600000000000001</c:v>
                </c:pt>
              </c:numCache>
            </c:numRef>
          </c:val>
        </c:ser>
        <c:ser>
          <c:idx val="1"/>
          <c:order val="1"/>
          <c:tx>
            <c:strRef>
              <c:f>'[APPAM-11-Tables_101811SLdpsl.xlsx]Data for Charts'!$C$9</c:f>
              <c:strCache>
                <c:ptCount val="1"/>
                <c:pt idx="0">
                  <c:v>SSS</c:v>
                </c:pt>
              </c:strCache>
            </c:strRef>
          </c:tx>
          <c:spPr>
            <a:solidFill>
              <a:schemeClr val="accent4">
                <a:lumMod val="75000"/>
              </a:schemeClr>
            </a:solidFill>
          </c:spPr>
          <c:invertIfNegative val="0"/>
          <c:dLbls>
            <c:txPr>
              <a:bodyPr/>
              <a:lstStyle/>
              <a:p>
                <a:pPr>
                  <a:defRPr sz="1200" b="1"/>
                </a:pPr>
                <a:endParaRPr lang="en-US"/>
              </a:p>
            </c:txPr>
            <c:showLegendKey val="0"/>
            <c:showVal val="1"/>
            <c:showCatName val="0"/>
            <c:showSerName val="0"/>
            <c:showPercent val="0"/>
            <c:showBubbleSize val="0"/>
            <c:showLeaderLines val="0"/>
          </c:dLbls>
          <c:cat>
            <c:strRef>
              <c:f>'[APPAM-11-Tables_101811SLdpsl.xlsx]Data for Charts'!$A$10:$A$16</c:f>
              <c:strCache>
                <c:ptCount val="7"/>
                <c:pt idx="0">
                  <c:v>CT</c:v>
                </c:pt>
                <c:pt idx="1">
                  <c:v>NJ</c:v>
                </c:pt>
                <c:pt idx="2">
                  <c:v>CO</c:v>
                </c:pt>
                <c:pt idx="3">
                  <c:v>WA</c:v>
                </c:pt>
                <c:pt idx="4">
                  <c:v>PA</c:v>
                </c:pt>
                <c:pt idx="5">
                  <c:v>CA</c:v>
                </c:pt>
                <c:pt idx="6">
                  <c:v>MS</c:v>
                </c:pt>
              </c:strCache>
            </c:strRef>
          </c:cat>
          <c:val>
            <c:numRef>
              <c:f>'[APPAM-11-Tables_101811SLdpsl.xlsx]Data for Charts'!$C$10:$C$16</c:f>
              <c:numCache>
                <c:formatCode>0.0</c:formatCode>
                <c:ptCount val="7"/>
                <c:pt idx="0" formatCode="General">
                  <c:v>19</c:v>
                </c:pt>
                <c:pt idx="1">
                  <c:v>20</c:v>
                </c:pt>
                <c:pt idx="2" formatCode="General">
                  <c:v>20.5</c:v>
                </c:pt>
                <c:pt idx="3" formatCode="General">
                  <c:v>20.7</c:v>
                </c:pt>
                <c:pt idx="4" formatCode="General">
                  <c:v>20.8</c:v>
                </c:pt>
                <c:pt idx="5" formatCode="General">
                  <c:v>31</c:v>
                </c:pt>
                <c:pt idx="6" formatCode="General">
                  <c:v>31.8</c:v>
                </c:pt>
              </c:numCache>
            </c:numRef>
          </c:val>
        </c:ser>
        <c:dLbls>
          <c:showLegendKey val="0"/>
          <c:showVal val="0"/>
          <c:showCatName val="0"/>
          <c:showSerName val="0"/>
          <c:showPercent val="0"/>
          <c:showBubbleSize val="0"/>
        </c:dLbls>
        <c:gapWidth val="150"/>
        <c:axId val="90856448"/>
        <c:axId val="111047424"/>
      </c:barChart>
      <c:catAx>
        <c:axId val="90856448"/>
        <c:scaling>
          <c:orientation val="minMax"/>
        </c:scaling>
        <c:delete val="0"/>
        <c:axPos val="b"/>
        <c:majorTickMark val="out"/>
        <c:minorTickMark val="none"/>
        <c:tickLblPos val="nextTo"/>
        <c:spPr>
          <a:ln w="19050"/>
        </c:spPr>
        <c:txPr>
          <a:bodyPr/>
          <a:lstStyle/>
          <a:p>
            <a:pPr>
              <a:defRPr sz="1200" b="1"/>
            </a:pPr>
            <a:endParaRPr lang="en-US"/>
          </a:p>
        </c:txPr>
        <c:crossAx val="111047424"/>
        <c:crosses val="autoZero"/>
        <c:auto val="1"/>
        <c:lblAlgn val="ctr"/>
        <c:lblOffset val="100"/>
        <c:noMultiLvlLbl val="0"/>
      </c:catAx>
      <c:valAx>
        <c:axId val="111047424"/>
        <c:scaling>
          <c:orientation val="minMax"/>
          <c:max val="50"/>
        </c:scaling>
        <c:delete val="0"/>
        <c:axPos val="l"/>
        <c:majorGridlines/>
        <c:numFmt formatCode="General" sourceLinked="0"/>
        <c:majorTickMark val="out"/>
        <c:minorTickMark val="none"/>
        <c:tickLblPos val="nextTo"/>
        <c:crossAx val="90856448"/>
        <c:crosses val="autoZero"/>
        <c:crossBetween val="between"/>
        <c:majorUnit val="10"/>
      </c:valAx>
    </c:plotArea>
    <c:legend>
      <c:legendPos val="r"/>
      <c:legendEntry>
        <c:idx val="0"/>
        <c:txPr>
          <a:bodyPr/>
          <a:lstStyle/>
          <a:p>
            <a:pPr>
              <a:defRPr sz="1400"/>
            </a:pPr>
            <a:endParaRPr lang="en-US"/>
          </a:p>
        </c:txPr>
      </c:legendEntry>
      <c:legendEntry>
        <c:idx val="1"/>
        <c:txPr>
          <a:bodyPr/>
          <a:lstStyle/>
          <a:p>
            <a:pPr>
              <a:defRPr sz="1400"/>
            </a:pPr>
            <a:endParaRPr lang="en-US"/>
          </a:p>
        </c:txPr>
      </c:legendEntry>
      <c:layout>
        <c:manualLayout>
          <c:xMode val="edge"/>
          <c:yMode val="edge"/>
          <c:x val="0.55894281336753882"/>
          <c:y val="0.17851438849893919"/>
          <c:w val="0.34433077892684455"/>
          <c:h val="0.12562891553075067"/>
        </c:manualLayout>
      </c:layout>
      <c:overlay val="0"/>
      <c:spPr>
        <a:solidFill>
          <a:schemeClr val="bg1"/>
        </a:solidFill>
        <a:ln w="25400" cmpd="sng">
          <a:solidFill>
            <a:schemeClr val="accent4">
              <a:lumMod val="60000"/>
              <a:lumOff val="40000"/>
            </a:schemeClr>
          </a:solidFill>
        </a:ln>
      </c:sp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0.19691</cdr:x>
      <cdr:y>0.02208</cdr:y>
    </cdr:from>
    <cdr:to>
      <cdr:x>0.83173</cdr:x>
      <cdr:y>0.16755</cdr:y>
    </cdr:to>
    <cdr:sp macro="" textlink="">
      <cdr:nvSpPr>
        <cdr:cNvPr id="2" name="TextBox 1"/>
        <cdr:cNvSpPr txBox="1"/>
      </cdr:nvSpPr>
      <cdr:spPr>
        <a:xfrm xmlns:a="http://schemas.openxmlformats.org/drawingml/2006/main">
          <a:off x="1170354" y="95250"/>
          <a:ext cx="3773121" cy="627593"/>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US" sz="1400" b="1"/>
            <a:t>Chart #1. </a:t>
          </a:r>
          <a:r>
            <a:rPr lang="en-US" sz="1400" b="1" baseline="0"/>
            <a:t>  </a:t>
          </a:r>
          <a:r>
            <a:rPr lang="en-US" sz="1400" b="1"/>
            <a:t>Percent of Total Households  Below the FPL and SSS in Select States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0FF5A-4708-4412-8173-D891B29E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6803</Words>
  <Characters>38778</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45491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Pearce</dc:creator>
  <cp:lastModifiedBy>Lisa Manzer</cp:lastModifiedBy>
  <cp:revision>2</cp:revision>
  <cp:lastPrinted>2011-10-25T08:17:00Z</cp:lastPrinted>
  <dcterms:created xsi:type="dcterms:W3CDTF">2011-10-27T00:45:00Z</dcterms:created>
  <dcterms:modified xsi:type="dcterms:W3CDTF">2011-10-27T00:45:00Z</dcterms:modified>
</cp:coreProperties>
</file>